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22" w:rsidRPr="00AA3822" w:rsidRDefault="00AA3822" w:rsidP="00AA3822">
      <w:pPr>
        <w:jc w:val="left"/>
        <w:rPr>
          <w:rFonts w:ascii="仿宋_GB2312" w:eastAsia="仿宋_GB2312" w:hAnsi="仿宋"/>
          <w:sz w:val="24"/>
          <w:szCs w:val="24"/>
        </w:rPr>
      </w:pPr>
    </w:p>
    <w:p w:rsidR="00EC38EF" w:rsidRDefault="00D47E86" w:rsidP="00037F25">
      <w:pPr>
        <w:jc w:val="center"/>
        <w:rPr>
          <w:rFonts w:ascii="黑体" w:eastAsia="黑体"/>
          <w:sz w:val="32"/>
          <w:szCs w:val="32"/>
        </w:rPr>
      </w:pPr>
      <w:r w:rsidRPr="00D47E86">
        <w:rPr>
          <w:rFonts w:ascii="黑体" w:eastAsia="黑体" w:hint="eastAsia"/>
          <w:sz w:val="32"/>
          <w:szCs w:val="32"/>
        </w:rPr>
        <w:t>《金融机构外汇业务数据采集规范（1.0）版》</w:t>
      </w:r>
      <w:r w:rsidR="00037F25" w:rsidRPr="00D47E86">
        <w:rPr>
          <w:rFonts w:ascii="黑体" w:eastAsia="黑体" w:hint="eastAsia"/>
          <w:sz w:val="32"/>
          <w:szCs w:val="32"/>
        </w:rPr>
        <w:t>问题解答</w:t>
      </w:r>
    </w:p>
    <w:p w:rsidR="00587143" w:rsidRPr="00D47E86" w:rsidRDefault="00EC38EF" w:rsidP="00EC38EF">
      <w:pPr>
        <w:jc w:val="center"/>
        <w:rPr>
          <w:rFonts w:ascii="黑体" w:eastAsia="黑体"/>
          <w:sz w:val="28"/>
          <w:szCs w:val="28"/>
        </w:rPr>
      </w:pPr>
      <w:r w:rsidRPr="00EC38EF">
        <w:rPr>
          <w:rFonts w:ascii="黑体" w:eastAsia="黑体" w:hint="eastAsia"/>
          <w:sz w:val="28"/>
          <w:szCs w:val="28"/>
        </w:rPr>
        <w:t>（第一期，</w:t>
      </w:r>
      <w:r w:rsidR="008E485D">
        <w:rPr>
          <w:rFonts w:ascii="黑体" w:eastAsia="黑体" w:hint="eastAsia"/>
          <w:sz w:val="28"/>
          <w:szCs w:val="28"/>
        </w:rPr>
        <w:t>2014年</w:t>
      </w:r>
      <w:r w:rsidR="00A96366">
        <w:rPr>
          <w:rFonts w:ascii="黑体" w:eastAsia="黑体" w:hint="eastAsia"/>
          <w:sz w:val="28"/>
          <w:szCs w:val="28"/>
        </w:rPr>
        <w:t>6</w:t>
      </w:r>
      <w:r w:rsidR="008E485D">
        <w:rPr>
          <w:rFonts w:ascii="黑体" w:eastAsia="黑体" w:hint="eastAsia"/>
          <w:sz w:val="28"/>
          <w:szCs w:val="28"/>
        </w:rPr>
        <w:t>月</w:t>
      </w:r>
      <w:r w:rsidR="006701E9">
        <w:rPr>
          <w:rFonts w:ascii="黑体" w:eastAsia="黑体" w:hint="eastAsia"/>
          <w:sz w:val="28"/>
          <w:szCs w:val="28"/>
        </w:rPr>
        <w:t>4</w:t>
      </w:r>
      <w:r w:rsidR="00587143">
        <w:rPr>
          <w:rFonts w:ascii="黑体" w:eastAsia="黑体" w:hint="eastAsia"/>
          <w:sz w:val="28"/>
          <w:szCs w:val="28"/>
        </w:rPr>
        <w:t>日版</w:t>
      </w:r>
      <w:r w:rsidR="00045393">
        <w:rPr>
          <w:rFonts w:ascii="黑体" w:eastAsia="黑体" w:hint="eastAsia"/>
          <w:sz w:val="28"/>
          <w:szCs w:val="28"/>
        </w:rPr>
        <w:t xml:space="preserve">， </w:t>
      </w:r>
      <w:r w:rsidR="00045393" w:rsidRPr="00563E2C">
        <w:rPr>
          <w:rFonts w:ascii="黑体" w:eastAsia="黑体" w:hint="eastAsia"/>
          <w:color w:val="FF0000"/>
          <w:sz w:val="28"/>
          <w:szCs w:val="28"/>
        </w:rPr>
        <w:t>2015年1月2</w:t>
      </w:r>
      <w:r w:rsidR="00E003EC" w:rsidRPr="00563E2C">
        <w:rPr>
          <w:rFonts w:ascii="黑体" w:eastAsia="黑体" w:hint="eastAsia"/>
          <w:color w:val="FF0000"/>
          <w:sz w:val="28"/>
          <w:szCs w:val="28"/>
        </w:rPr>
        <w:t>2</w:t>
      </w:r>
      <w:r w:rsidR="00045393" w:rsidRPr="00563E2C">
        <w:rPr>
          <w:rFonts w:ascii="黑体" w:eastAsia="黑体" w:hint="eastAsia"/>
          <w:color w:val="FF0000"/>
          <w:sz w:val="28"/>
          <w:szCs w:val="28"/>
        </w:rPr>
        <w:t>日修订</w:t>
      </w:r>
      <w:r w:rsidR="00E003EC">
        <w:rPr>
          <w:rStyle w:val="ad"/>
          <w:rFonts w:ascii="黑体" w:eastAsia="黑体"/>
          <w:sz w:val="28"/>
          <w:szCs w:val="28"/>
        </w:rPr>
        <w:footnoteReference w:id="1"/>
      </w:r>
      <w:r w:rsidR="00587143">
        <w:rPr>
          <w:rFonts w:ascii="黑体" w:eastAsia="黑体" w:hint="eastAsia"/>
          <w:sz w:val="28"/>
          <w:szCs w:val="28"/>
        </w:rPr>
        <w:t>）</w:t>
      </w:r>
    </w:p>
    <w:p w:rsidR="000F5649" w:rsidRPr="003666EA" w:rsidRDefault="000F5649" w:rsidP="006629EB">
      <w:pPr>
        <w:spacing w:line="360" w:lineRule="auto"/>
        <w:outlineLvl w:val="0"/>
        <w:rPr>
          <w:rFonts w:ascii="黑体" w:eastAsia="黑体" w:hAnsiTheme="minorEastAsia"/>
          <w:b/>
          <w:sz w:val="24"/>
          <w:szCs w:val="24"/>
        </w:rPr>
      </w:pPr>
      <w:r w:rsidRPr="003666EA">
        <w:rPr>
          <w:rFonts w:ascii="黑体" w:eastAsia="黑体" w:hAnsiTheme="minorEastAsia" w:hint="eastAsia"/>
          <w:b/>
          <w:sz w:val="24"/>
          <w:szCs w:val="24"/>
        </w:rPr>
        <w:t>一、</w:t>
      </w:r>
      <w:r w:rsidRPr="003666EA">
        <w:rPr>
          <w:rFonts w:ascii="黑体" w:eastAsia="黑体" w:hint="eastAsia"/>
          <w:sz w:val="24"/>
          <w:szCs w:val="24"/>
        </w:rPr>
        <w:t>《对外金融资产负债及交易统计制度》</w:t>
      </w:r>
      <w:r w:rsidR="009059CA" w:rsidRPr="003666EA">
        <w:rPr>
          <w:rFonts w:ascii="黑体" w:eastAsia="黑体" w:hint="eastAsia"/>
          <w:sz w:val="24"/>
          <w:szCs w:val="24"/>
        </w:rPr>
        <w:t>（汇发【2013】43号）</w:t>
      </w:r>
      <w:r w:rsidR="00F32F47">
        <w:rPr>
          <w:rFonts w:ascii="黑体" w:eastAsia="黑体" w:hint="eastAsia"/>
          <w:sz w:val="24"/>
          <w:szCs w:val="24"/>
        </w:rPr>
        <w:t>业务</w:t>
      </w:r>
      <w:r w:rsidRPr="003666EA">
        <w:rPr>
          <w:rFonts w:ascii="黑体" w:eastAsia="黑体" w:hint="eastAsia"/>
          <w:sz w:val="24"/>
          <w:szCs w:val="24"/>
        </w:rPr>
        <w:t>问题</w:t>
      </w:r>
    </w:p>
    <w:p w:rsidR="00D47E86" w:rsidRPr="003666EA" w:rsidRDefault="00D47E86"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问题1：按照《对外金融资产负债及交易统计制度》，</w:t>
      </w:r>
      <w:r w:rsidR="007C199E" w:rsidRPr="003666EA">
        <w:rPr>
          <w:rFonts w:asciiTheme="minorEastAsia" w:hAnsiTheme="minorEastAsia" w:hint="eastAsia"/>
          <w:b/>
          <w:sz w:val="24"/>
          <w:szCs w:val="24"/>
        </w:rPr>
        <w:t>金融机构</w:t>
      </w:r>
      <w:r w:rsidRPr="003666EA">
        <w:rPr>
          <w:rFonts w:asciiTheme="minorEastAsia" w:hAnsiTheme="minorEastAsia" w:hint="eastAsia"/>
          <w:b/>
          <w:sz w:val="24"/>
          <w:szCs w:val="24"/>
        </w:rPr>
        <w:t>的范围是哪些？</w:t>
      </w:r>
    </w:p>
    <w:p w:rsidR="0091541A" w:rsidRDefault="00D030F1"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7C199E" w:rsidRPr="003666EA">
        <w:rPr>
          <w:rFonts w:ascii="仿宋_GB2312" w:eastAsia="仿宋_GB2312" w:hAnsi="仿宋" w:hint="eastAsia"/>
          <w:sz w:val="24"/>
          <w:szCs w:val="24"/>
        </w:rPr>
        <w:t>对于金融机构的范围，应</w:t>
      </w:r>
      <w:r w:rsidR="002C26CC">
        <w:rPr>
          <w:rFonts w:ascii="仿宋_GB2312" w:eastAsia="仿宋_GB2312" w:hAnsi="仿宋" w:hint="eastAsia"/>
          <w:sz w:val="24"/>
          <w:szCs w:val="24"/>
        </w:rPr>
        <w:t>参照</w:t>
      </w:r>
      <w:r w:rsidR="007C199E" w:rsidRPr="003666EA">
        <w:rPr>
          <w:rFonts w:ascii="仿宋_GB2312" w:eastAsia="仿宋_GB2312" w:hAnsi="仿宋" w:hint="eastAsia"/>
          <w:sz w:val="24"/>
          <w:szCs w:val="24"/>
        </w:rPr>
        <w:t>国家统计局《国民经济行业分类》（</w:t>
      </w:r>
      <w:r w:rsidR="00EC6CA9" w:rsidRPr="003666EA">
        <w:rPr>
          <w:rFonts w:ascii="仿宋_GB2312" w:eastAsia="仿宋_GB2312" w:hAnsi="仿宋" w:hint="eastAsia"/>
          <w:sz w:val="24"/>
          <w:szCs w:val="24"/>
        </w:rPr>
        <w:t>GB/T 4754-2011</w:t>
      </w:r>
      <w:r w:rsidR="007C199E" w:rsidRPr="003666EA">
        <w:rPr>
          <w:rFonts w:ascii="仿宋_GB2312" w:eastAsia="仿宋_GB2312" w:hAnsi="仿宋" w:hint="eastAsia"/>
          <w:sz w:val="24"/>
          <w:szCs w:val="24"/>
        </w:rPr>
        <w:t>）掌握</w:t>
      </w:r>
      <w:r w:rsidR="004D34D6" w:rsidRPr="003666EA">
        <w:rPr>
          <w:rFonts w:ascii="仿宋_GB2312" w:eastAsia="仿宋_GB2312" w:hAnsi="仿宋" w:hint="eastAsia"/>
          <w:sz w:val="24"/>
          <w:szCs w:val="24"/>
        </w:rPr>
        <w:t>，详见《国家外汇管理局关于发布〈金融机构外汇业务数据采集规范（1.0版）〉的通知》（汇发[2014]</w:t>
      </w:r>
      <w:r w:rsidR="007350A1" w:rsidRPr="003666EA">
        <w:rPr>
          <w:rFonts w:ascii="仿宋_GB2312" w:eastAsia="仿宋_GB2312" w:hAnsi="仿宋" w:hint="eastAsia"/>
          <w:sz w:val="24"/>
          <w:szCs w:val="24"/>
        </w:rPr>
        <w:t>18号）附件-第七章代码表-7.5金融业代码表</w:t>
      </w:r>
      <w:r w:rsidR="00E533B8">
        <w:rPr>
          <w:rFonts w:ascii="仿宋_GB2312" w:eastAsia="仿宋_GB2312" w:hAnsi="仿宋" w:hint="eastAsia"/>
          <w:sz w:val="24"/>
          <w:szCs w:val="24"/>
        </w:rPr>
        <w:t>(见本次解答</w:t>
      </w:r>
      <w:r w:rsidR="00B81142">
        <w:rPr>
          <w:rFonts w:ascii="仿宋_GB2312" w:eastAsia="仿宋_GB2312" w:hAnsi="仿宋" w:hint="eastAsia"/>
          <w:sz w:val="24"/>
          <w:szCs w:val="24"/>
        </w:rPr>
        <w:t>附件1</w:t>
      </w:r>
      <w:r w:rsidR="00E533B8">
        <w:rPr>
          <w:rFonts w:ascii="仿宋_GB2312" w:eastAsia="仿宋_GB2312" w:hAnsi="仿宋" w:hint="eastAsia"/>
          <w:sz w:val="24"/>
          <w:szCs w:val="24"/>
        </w:rPr>
        <w:t>)</w:t>
      </w:r>
      <w:r w:rsidR="00B81142">
        <w:rPr>
          <w:rFonts w:ascii="仿宋_GB2312" w:eastAsia="仿宋_GB2312" w:hAnsi="仿宋" w:hint="eastAsia"/>
          <w:sz w:val="24"/>
          <w:szCs w:val="24"/>
        </w:rPr>
        <w:t>。</w:t>
      </w:r>
    </w:p>
    <w:p w:rsidR="00D06F65" w:rsidRDefault="00E533B8">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境内金融机构应直接选择该代码表最底层代码,如商业银行应选择</w:t>
      </w:r>
      <w:r w:rsidRPr="003666EA">
        <w:rPr>
          <w:rFonts w:ascii="仿宋_GB2312" w:eastAsia="仿宋_GB2312" w:hAnsi="仿宋" w:cs="宋体" w:hint="eastAsia"/>
          <w:kern w:val="0"/>
          <w:sz w:val="24"/>
          <w:szCs w:val="24"/>
        </w:rPr>
        <w:t>“</w:t>
      </w:r>
      <w:r>
        <w:rPr>
          <w:rFonts w:ascii="仿宋_GB2312" w:eastAsia="仿宋_GB2312" w:hAnsi="仿宋" w:hint="eastAsia"/>
          <w:sz w:val="24"/>
          <w:szCs w:val="24"/>
        </w:rPr>
        <w:t>6620-货币银行服务</w:t>
      </w:r>
      <w:r>
        <w:rPr>
          <w:rFonts w:ascii="仿宋_GB2312" w:eastAsia="仿宋_GB2312" w:hAnsi="仿宋"/>
          <w:sz w:val="24"/>
          <w:szCs w:val="24"/>
        </w:rPr>
        <w:t>”</w:t>
      </w:r>
      <w:r>
        <w:rPr>
          <w:rFonts w:ascii="仿宋_GB2312" w:eastAsia="仿宋_GB2312" w:hAnsi="仿宋" w:hint="eastAsia"/>
          <w:sz w:val="24"/>
          <w:szCs w:val="24"/>
        </w:rPr>
        <w:t>,而不是</w:t>
      </w:r>
      <w:r w:rsidRPr="003666EA">
        <w:rPr>
          <w:rFonts w:ascii="仿宋_GB2312" w:eastAsia="仿宋_GB2312" w:hAnsi="仿宋" w:cs="宋体" w:hint="eastAsia"/>
          <w:kern w:val="0"/>
          <w:sz w:val="24"/>
          <w:szCs w:val="24"/>
        </w:rPr>
        <w:t>“</w:t>
      </w:r>
      <w:r>
        <w:rPr>
          <w:rFonts w:ascii="仿宋_GB2312" w:eastAsia="仿宋_GB2312" w:hAnsi="仿宋" w:hint="eastAsia"/>
          <w:sz w:val="24"/>
          <w:szCs w:val="24"/>
        </w:rPr>
        <w:t>1066-货币金融服务</w:t>
      </w:r>
      <w:r>
        <w:rPr>
          <w:rFonts w:ascii="仿宋_GB2312" w:eastAsia="仿宋_GB2312" w:hAnsi="仿宋"/>
          <w:sz w:val="24"/>
          <w:szCs w:val="24"/>
        </w:rPr>
        <w:t>”</w:t>
      </w:r>
      <w:r w:rsidR="004A29DF">
        <w:rPr>
          <w:rFonts w:ascii="仿宋_GB2312" w:eastAsia="仿宋_GB2312" w:hAnsi="仿宋" w:hint="eastAsia"/>
          <w:sz w:val="24"/>
          <w:szCs w:val="24"/>
        </w:rPr>
        <w:t>。</w:t>
      </w:r>
    </w:p>
    <w:p w:rsidR="00D06F65" w:rsidRDefault="00EA3D31">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应注意</w:t>
      </w:r>
      <w:r w:rsidR="002C26CC">
        <w:rPr>
          <w:rFonts w:ascii="仿宋_GB2312" w:eastAsia="仿宋_GB2312" w:hAnsi="仿宋" w:hint="eastAsia"/>
          <w:sz w:val="24"/>
          <w:szCs w:val="24"/>
        </w:rPr>
        <w:t>，</w:t>
      </w:r>
      <w:r w:rsidR="00532B2D">
        <w:rPr>
          <w:rFonts w:ascii="仿宋_GB2312" w:eastAsia="仿宋_GB2312" w:hAnsi="仿宋" w:hint="eastAsia"/>
          <w:sz w:val="24"/>
          <w:szCs w:val="24"/>
        </w:rPr>
        <w:t>“6631-金融租赁服务”、“6632-财务公司”</w:t>
      </w:r>
      <w:r w:rsidR="00372DE5">
        <w:rPr>
          <w:rFonts w:ascii="仿宋_GB2312" w:eastAsia="仿宋_GB2312" w:hAnsi="仿宋" w:hint="eastAsia"/>
          <w:sz w:val="24"/>
          <w:szCs w:val="24"/>
        </w:rPr>
        <w:t>包括但不限于</w:t>
      </w:r>
      <w:r w:rsidR="00C3352E" w:rsidRPr="00C3352E">
        <w:rPr>
          <w:rFonts w:ascii="仿宋_GB2312" w:eastAsia="仿宋_GB2312" w:hAnsi="仿宋" w:hint="eastAsia"/>
          <w:sz w:val="24"/>
          <w:szCs w:val="24"/>
        </w:rPr>
        <w:t>中国人民银行批准的</w:t>
      </w:r>
      <w:r w:rsidR="00ED7F34">
        <w:rPr>
          <w:rFonts w:ascii="仿宋_GB2312" w:eastAsia="仿宋_GB2312" w:hAnsi="仿宋" w:hint="eastAsia"/>
          <w:sz w:val="24"/>
          <w:szCs w:val="24"/>
        </w:rPr>
        <w:t>从事</w:t>
      </w:r>
      <w:r w:rsidR="00CE26D8">
        <w:rPr>
          <w:rFonts w:ascii="仿宋_GB2312" w:eastAsia="仿宋_GB2312" w:hAnsi="仿宋" w:hint="eastAsia"/>
          <w:sz w:val="24"/>
          <w:szCs w:val="24"/>
        </w:rPr>
        <w:t>相关</w:t>
      </w:r>
      <w:r w:rsidR="00372DE5">
        <w:rPr>
          <w:rFonts w:ascii="仿宋_GB2312" w:eastAsia="仿宋_GB2312" w:hAnsi="仿宋" w:hint="eastAsia"/>
          <w:sz w:val="24"/>
          <w:szCs w:val="24"/>
        </w:rPr>
        <w:t>金融</w:t>
      </w:r>
      <w:r w:rsidR="00ED7F34">
        <w:rPr>
          <w:rFonts w:ascii="仿宋_GB2312" w:eastAsia="仿宋_GB2312" w:hAnsi="仿宋" w:hint="eastAsia"/>
          <w:sz w:val="24"/>
          <w:szCs w:val="24"/>
        </w:rPr>
        <w:t>活动的</w:t>
      </w:r>
      <w:r w:rsidR="00372DE5">
        <w:rPr>
          <w:rFonts w:ascii="仿宋_GB2312" w:eastAsia="仿宋_GB2312" w:hAnsi="仿宋" w:hint="eastAsia"/>
          <w:sz w:val="24"/>
          <w:szCs w:val="24"/>
        </w:rPr>
        <w:t>机构</w:t>
      </w:r>
      <w:r w:rsidR="00ED7F34">
        <w:rPr>
          <w:rFonts w:ascii="仿宋_GB2312" w:eastAsia="仿宋_GB2312" w:hAnsi="仿宋" w:hint="eastAsia"/>
          <w:sz w:val="24"/>
          <w:szCs w:val="24"/>
        </w:rPr>
        <w:t>。</w:t>
      </w:r>
    </w:p>
    <w:p w:rsidR="007C199E" w:rsidRPr="003666EA" w:rsidRDefault="007C199E" w:rsidP="006629EB">
      <w:pPr>
        <w:spacing w:line="360" w:lineRule="auto"/>
        <w:rPr>
          <w:rFonts w:asciiTheme="minorEastAsia" w:hAnsiTheme="minorEastAsia" w:cs="宋体"/>
          <w:kern w:val="0"/>
          <w:sz w:val="24"/>
          <w:szCs w:val="24"/>
        </w:rPr>
      </w:pPr>
    </w:p>
    <w:p w:rsidR="007C199E" w:rsidRPr="003666EA" w:rsidRDefault="00155B4A" w:rsidP="006629EB">
      <w:pPr>
        <w:spacing w:line="360" w:lineRule="auto"/>
        <w:rPr>
          <w:rFonts w:asciiTheme="minorEastAsia" w:hAnsiTheme="minorEastAsia" w:cs="宋体"/>
          <w:b/>
          <w:kern w:val="0"/>
          <w:sz w:val="24"/>
          <w:szCs w:val="24"/>
        </w:rPr>
      </w:pPr>
      <w:r w:rsidRPr="003666EA">
        <w:rPr>
          <w:rFonts w:asciiTheme="minorEastAsia" w:hAnsiTheme="minorEastAsia" w:cs="宋体" w:hint="eastAsia"/>
          <w:b/>
          <w:kern w:val="0"/>
          <w:sz w:val="24"/>
          <w:szCs w:val="24"/>
        </w:rPr>
        <w:t>问题</w:t>
      </w:r>
      <w:r w:rsidR="00F64764" w:rsidRPr="003666EA">
        <w:rPr>
          <w:rFonts w:asciiTheme="minorEastAsia" w:hAnsiTheme="minorEastAsia" w:cs="宋体" w:hint="eastAsia"/>
          <w:b/>
          <w:kern w:val="0"/>
          <w:sz w:val="24"/>
          <w:szCs w:val="24"/>
        </w:rPr>
        <w:t>2</w:t>
      </w:r>
      <w:r w:rsidRPr="003666EA">
        <w:rPr>
          <w:rFonts w:asciiTheme="minorEastAsia" w:hAnsiTheme="minorEastAsia" w:cs="宋体" w:hint="eastAsia"/>
          <w:b/>
          <w:kern w:val="0"/>
          <w:sz w:val="24"/>
          <w:szCs w:val="24"/>
        </w:rPr>
        <w:t>：如何根据《金融机构外汇业务数据采集规范（1.0）版》</w:t>
      </w:r>
      <w:r w:rsidR="00727A2A" w:rsidRPr="003666EA">
        <w:rPr>
          <w:rFonts w:asciiTheme="minorEastAsia" w:hAnsiTheme="minorEastAsia" w:cs="宋体" w:hint="eastAsia"/>
          <w:b/>
          <w:kern w:val="0"/>
          <w:sz w:val="24"/>
          <w:szCs w:val="24"/>
        </w:rPr>
        <w:t>（汇发【2014】18号）</w:t>
      </w:r>
      <w:r w:rsidRPr="003666EA">
        <w:rPr>
          <w:rFonts w:asciiTheme="minorEastAsia" w:hAnsiTheme="minorEastAsia" w:cs="宋体" w:hint="eastAsia"/>
          <w:b/>
          <w:kern w:val="0"/>
          <w:sz w:val="24"/>
          <w:szCs w:val="24"/>
        </w:rPr>
        <w:t>选择数据报送方式？</w:t>
      </w:r>
    </w:p>
    <w:p w:rsidR="005B6F91" w:rsidRPr="003666EA" w:rsidRDefault="00155B4A" w:rsidP="00E533B8">
      <w:pPr>
        <w:spacing w:line="360" w:lineRule="auto"/>
        <w:rPr>
          <w:rFonts w:ascii="仿宋_GB2312" w:eastAsia="仿宋_GB2312" w:hAnsi="仿宋" w:cs="宋体"/>
          <w:kern w:val="0"/>
          <w:sz w:val="24"/>
          <w:szCs w:val="24"/>
        </w:rPr>
      </w:pPr>
      <w:r w:rsidRPr="003666EA">
        <w:rPr>
          <w:rFonts w:ascii="仿宋" w:eastAsia="仿宋" w:hAnsi="仿宋" w:cs="宋体" w:hint="eastAsia"/>
          <w:b/>
          <w:kern w:val="0"/>
          <w:sz w:val="24"/>
          <w:szCs w:val="24"/>
        </w:rPr>
        <w:t>答：</w:t>
      </w:r>
      <w:r w:rsidR="00E533B8">
        <w:rPr>
          <w:rFonts w:ascii="仿宋_GB2312" w:eastAsia="仿宋_GB2312" w:hAnsi="仿宋" w:cs="宋体" w:hint="eastAsia"/>
          <w:kern w:val="0"/>
          <w:sz w:val="24"/>
          <w:szCs w:val="24"/>
        </w:rPr>
        <w:t>根据</w:t>
      </w:r>
      <w:r w:rsidR="005B6F91" w:rsidRPr="003666EA">
        <w:rPr>
          <w:rFonts w:ascii="仿宋" w:eastAsia="仿宋" w:hAnsi="仿宋" w:cs="宋体" w:hint="eastAsia"/>
          <w:kern w:val="0"/>
          <w:sz w:val="24"/>
          <w:szCs w:val="24"/>
        </w:rPr>
        <w:t>《</w:t>
      </w:r>
      <w:r w:rsidR="005B6F91" w:rsidRPr="003666EA">
        <w:rPr>
          <w:rFonts w:ascii="仿宋_GB2312" w:eastAsia="仿宋_GB2312" w:hAnsi="仿宋" w:cs="宋体" w:hint="eastAsia"/>
          <w:kern w:val="0"/>
          <w:sz w:val="24"/>
          <w:szCs w:val="24"/>
        </w:rPr>
        <w:t>金融机构外汇业务数据采集规范（1.0）版》（汇发[2014]18号）1.3</w:t>
      </w:r>
      <w:r w:rsidR="00E533B8">
        <w:rPr>
          <w:rFonts w:ascii="仿宋_GB2312" w:eastAsia="仿宋_GB2312" w:hAnsi="仿宋" w:cs="宋体" w:hint="eastAsia"/>
          <w:kern w:val="0"/>
          <w:sz w:val="24"/>
          <w:szCs w:val="24"/>
        </w:rPr>
        <w:t>数据采集和接入方式说明</w:t>
      </w:r>
      <w:r w:rsidR="005B6F91" w:rsidRPr="003666EA">
        <w:rPr>
          <w:rFonts w:ascii="仿宋_GB2312" w:eastAsia="仿宋_GB2312" w:hAnsi="仿宋" w:cs="宋体" w:hint="eastAsia"/>
          <w:kern w:val="0"/>
          <w:sz w:val="24"/>
          <w:szCs w:val="24"/>
        </w:rPr>
        <w:t>，</w:t>
      </w:r>
      <w:r w:rsidR="00A16681" w:rsidRPr="003666EA">
        <w:rPr>
          <w:rFonts w:ascii="仿宋_GB2312" w:eastAsia="仿宋_GB2312" w:hAnsi="仿宋" w:cs="宋体" w:hint="eastAsia"/>
          <w:kern w:val="0"/>
          <w:sz w:val="24"/>
          <w:szCs w:val="24"/>
        </w:rPr>
        <w:t>一家申报主体在报送《对外金融资产负债及交易统计制度》的各张报表数据时，只能在接口和界面</w:t>
      </w:r>
      <w:r w:rsidR="00A16681">
        <w:rPr>
          <w:rFonts w:ascii="仿宋_GB2312" w:eastAsia="仿宋_GB2312" w:hAnsi="仿宋" w:cs="宋体" w:hint="eastAsia"/>
          <w:kern w:val="0"/>
          <w:sz w:val="24"/>
          <w:szCs w:val="24"/>
        </w:rPr>
        <w:t>中选择其一,具体分为</w:t>
      </w:r>
      <w:r w:rsidR="005B6F91" w:rsidRPr="003666EA">
        <w:rPr>
          <w:rFonts w:ascii="仿宋_GB2312" w:eastAsia="仿宋_GB2312" w:hAnsi="仿宋" w:cs="宋体" w:hint="eastAsia"/>
          <w:kern w:val="0"/>
          <w:sz w:val="24"/>
          <w:szCs w:val="24"/>
        </w:rPr>
        <w:t>以下3种报送方式，即（1）专线-接口；（2）专线-界面；（3）互联网-界面。需要提醒的是，</w:t>
      </w:r>
      <w:r w:rsidR="005B6F91">
        <w:rPr>
          <w:rFonts w:ascii="仿宋_GB2312" w:eastAsia="仿宋_GB2312" w:hAnsi="仿宋" w:cs="宋体" w:hint="eastAsia"/>
          <w:kern w:val="0"/>
          <w:sz w:val="24"/>
          <w:szCs w:val="24"/>
        </w:rPr>
        <w:t>境内银行仅能选择（1）、（2）；非银行金融机构可以</w:t>
      </w:r>
      <w:r w:rsidR="00A16681">
        <w:rPr>
          <w:rFonts w:ascii="仿宋_GB2312" w:eastAsia="仿宋_GB2312" w:hAnsi="仿宋" w:cs="宋体" w:hint="eastAsia"/>
          <w:kern w:val="0"/>
          <w:sz w:val="24"/>
          <w:szCs w:val="24"/>
        </w:rPr>
        <w:t>专线接入(1或2)或互联网报送(3)</w:t>
      </w:r>
      <w:r w:rsidR="005B6F91">
        <w:rPr>
          <w:rFonts w:ascii="仿宋_GB2312" w:eastAsia="仿宋_GB2312" w:hAnsi="仿宋" w:cs="宋体" w:hint="eastAsia"/>
          <w:kern w:val="0"/>
          <w:sz w:val="24"/>
          <w:szCs w:val="24"/>
        </w:rPr>
        <w:t>中的任何一种。</w:t>
      </w:r>
      <w:r w:rsidR="00A16681">
        <w:rPr>
          <w:rFonts w:ascii="仿宋_GB2312" w:eastAsia="仿宋_GB2312" w:hAnsi="仿宋" w:cs="宋体" w:hint="eastAsia"/>
          <w:kern w:val="0"/>
          <w:sz w:val="24"/>
          <w:szCs w:val="24"/>
        </w:rPr>
        <w:t>无论是专线还是互联网报送</w:t>
      </w:r>
      <w:r w:rsidR="00A16681" w:rsidRPr="003666EA">
        <w:rPr>
          <w:rFonts w:ascii="仿宋_GB2312" w:eastAsia="仿宋_GB2312" w:hAnsi="仿宋" w:cs="宋体" w:hint="eastAsia"/>
          <w:kern w:val="0"/>
          <w:sz w:val="24"/>
          <w:szCs w:val="24"/>
        </w:rPr>
        <w:t>，</w:t>
      </w:r>
      <w:r w:rsidR="00A16681">
        <w:rPr>
          <w:rFonts w:ascii="仿宋_GB2312" w:eastAsia="仿宋_GB2312" w:hAnsi="仿宋" w:cs="宋体" w:hint="eastAsia"/>
          <w:kern w:val="0"/>
          <w:sz w:val="24"/>
          <w:szCs w:val="24"/>
        </w:rPr>
        <w:t>如</w:t>
      </w:r>
      <w:r w:rsidR="005B6F91">
        <w:rPr>
          <w:rFonts w:ascii="仿宋_GB2312" w:eastAsia="仿宋_GB2312" w:hAnsi="仿宋" w:cs="宋体" w:hint="eastAsia"/>
          <w:kern w:val="0"/>
          <w:sz w:val="24"/>
          <w:szCs w:val="24"/>
        </w:rPr>
        <w:t>果选择以界面方式报送，</w:t>
      </w:r>
      <w:r w:rsidR="00F6137A">
        <w:rPr>
          <w:rFonts w:ascii="仿宋_GB2312" w:eastAsia="仿宋_GB2312" w:hAnsi="仿宋" w:cs="宋体" w:hint="eastAsia"/>
          <w:kern w:val="0"/>
          <w:sz w:val="24"/>
          <w:szCs w:val="24"/>
        </w:rPr>
        <w:t>Z02（业务概览及联系方式表）中选择了有相关业务的报表</w:t>
      </w:r>
      <w:r w:rsidR="0076507B">
        <w:rPr>
          <w:rFonts w:ascii="仿宋_GB2312" w:eastAsia="仿宋_GB2312" w:hAnsi="仿宋" w:cs="宋体" w:hint="eastAsia"/>
          <w:kern w:val="0"/>
          <w:sz w:val="24"/>
          <w:szCs w:val="24"/>
        </w:rPr>
        <w:t>均</w:t>
      </w:r>
      <w:r w:rsidR="005B6F91">
        <w:rPr>
          <w:rFonts w:ascii="仿宋_GB2312" w:eastAsia="仿宋_GB2312" w:hAnsi="仿宋" w:cs="宋体" w:hint="eastAsia"/>
          <w:kern w:val="0"/>
          <w:sz w:val="24"/>
          <w:szCs w:val="24"/>
        </w:rPr>
        <w:t>需一次性报送，否则将难以通过Z02表（控制表）的校验。</w:t>
      </w:r>
    </w:p>
    <w:p w:rsidR="008E1FF0" w:rsidRPr="005B6F91" w:rsidRDefault="008E1FF0" w:rsidP="005B6F91">
      <w:pPr>
        <w:spacing w:line="360" w:lineRule="auto"/>
        <w:rPr>
          <w:rFonts w:asciiTheme="minorEastAsia" w:hAnsiTheme="minorEastAsia" w:cs="宋体"/>
          <w:kern w:val="0"/>
          <w:sz w:val="24"/>
          <w:szCs w:val="24"/>
        </w:rPr>
      </w:pPr>
    </w:p>
    <w:p w:rsidR="0021093E" w:rsidRPr="00BF0CDA" w:rsidRDefault="0021093E" w:rsidP="0021093E">
      <w:pPr>
        <w:spacing w:line="360" w:lineRule="auto"/>
        <w:rPr>
          <w:rFonts w:asciiTheme="minorEastAsia" w:hAnsiTheme="minorEastAsia"/>
          <w:b/>
          <w:sz w:val="24"/>
          <w:szCs w:val="24"/>
        </w:rPr>
      </w:pPr>
      <w:r w:rsidRPr="00BF0CDA">
        <w:rPr>
          <w:rFonts w:asciiTheme="minorEastAsia" w:hAnsiTheme="minorEastAsia" w:hint="eastAsia"/>
          <w:b/>
          <w:sz w:val="24"/>
          <w:szCs w:val="24"/>
        </w:rPr>
        <w:t>问题3：对于选择</w:t>
      </w:r>
      <w:r w:rsidR="002847D3">
        <w:rPr>
          <w:rFonts w:asciiTheme="minorEastAsia" w:hAnsiTheme="minorEastAsia" w:hint="eastAsia"/>
          <w:b/>
          <w:sz w:val="24"/>
          <w:szCs w:val="24"/>
        </w:rPr>
        <w:t>界面</w:t>
      </w:r>
      <w:r w:rsidRPr="00BF0CDA">
        <w:rPr>
          <w:rFonts w:asciiTheme="minorEastAsia" w:hAnsiTheme="minorEastAsia" w:hint="eastAsia"/>
          <w:b/>
          <w:sz w:val="24"/>
          <w:szCs w:val="24"/>
        </w:rPr>
        <w:t>方式报送数据的机构,其对应数据规范是怎样的?</w:t>
      </w:r>
    </w:p>
    <w:p w:rsidR="0021093E" w:rsidRPr="0021093E" w:rsidRDefault="0021093E" w:rsidP="00FA6D65">
      <w:pPr>
        <w:spacing w:line="360" w:lineRule="auto"/>
        <w:rPr>
          <w:rFonts w:asciiTheme="minorEastAsia" w:hAnsiTheme="minorEastAsia"/>
          <w:b/>
          <w:sz w:val="24"/>
          <w:szCs w:val="24"/>
        </w:rPr>
      </w:pPr>
      <w:r w:rsidRPr="003666EA">
        <w:rPr>
          <w:rFonts w:asciiTheme="minorEastAsia" w:hAnsiTheme="minorEastAsia" w:hint="eastAsia"/>
          <w:b/>
          <w:sz w:val="24"/>
          <w:szCs w:val="24"/>
        </w:rPr>
        <w:t>答：</w:t>
      </w:r>
      <w:r w:rsidRPr="003666EA">
        <w:rPr>
          <w:rFonts w:ascii="仿宋_GB2312" w:eastAsia="仿宋_GB2312" w:hAnsi="仿宋" w:hint="eastAsia"/>
          <w:sz w:val="24"/>
          <w:szCs w:val="24"/>
        </w:rPr>
        <w:t>汇发【2014】18号</w:t>
      </w:r>
      <w:r>
        <w:rPr>
          <w:rFonts w:ascii="仿宋_GB2312" w:eastAsia="仿宋_GB2312" w:hAnsi="仿宋" w:hint="eastAsia"/>
          <w:sz w:val="24"/>
          <w:szCs w:val="24"/>
        </w:rPr>
        <w:t>同时适用于按照接口方式和按照界面方式报送数据的情况</w:t>
      </w:r>
      <w:r w:rsidR="004661FE">
        <w:rPr>
          <w:rFonts w:ascii="仿宋_GB2312" w:eastAsia="仿宋_GB2312" w:hAnsi="仿宋" w:hint="eastAsia"/>
          <w:sz w:val="24"/>
          <w:szCs w:val="24"/>
        </w:rPr>
        <w:t>。界面和接口方式报送仅是</w:t>
      </w:r>
      <w:r w:rsidR="001E7FB9">
        <w:rPr>
          <w:rFonts w:ascii="仿宋_GB2312" w:eastAsia="仿宋_GB2312" w:hAnsi="仿宋" w:hint="eastAsia"/>
          <w:sz w:val="24"/>
          <w:szCs w:val="24"/>
        </w:rPr>
        <w:t>数据</w:t>
      </w:r>
      <w:r w:rsidR="004661FE">
        <w:rPr>
          <w:rFonts w:ascii="仿宋_GB2312" w:eastAsia="仿宋_GB2312" w:hAnsi="仿宋" w:hint="eastAsia"/>
          <w:sz w:val="24"/>
          <w:szCs w:val="24"/>
        </w:rPr>
        <w:t>报送方式</w:t>
      </w:r>
      <w:r w:rsidR="001E7FB9">
        <w:rPr>
          <w:rFonts w:ascii="仿宋_GB2312" w:eastAsia="仿宋_GB2312" w:hAnsi="仿宋" w:hint="eastAsia"/>
          <w:sz w:val="24"/>
          <w:szCs w:val="24"/>
        </w:rPr>
        <w:t>有</w:t>
      </w:r>
      <w:r w:rsidR="004661FE">
        <w:rPr>
          <w:rFonts w:ascii="仿宋_GB2312" w:eastAsia="仿宋_GB2312" w:hAnsi="仿宋" w:hint="eastAsia"/>
          <w:sz w:val="24"/>
          <w:szCs w:val="24"/>
        </w:rPr>
        <w:t>不同，但两</w:t>
      </w:r>
      <w:r w:rsidR="001E7FB9">
        <w:rPr>
          <w:rFonts w:ascii="仿宋_GB2312" w:eastAsia="仿宋_GB2312" w:hAnsi="仿宋" w:hint="eastAsia"/>
          <w:sz w:val="24"/>
          <w:szCs w:val="24"/>
        </w:rPr>
        <w:t>种报送方式</w:t>
      </w:r>
      <w:r w:rsidR="004661FE">
        <w:rPr>
          <w:rFonts w:ascii="仿宋_GB2312" w:eastAsia="仿宋_GB2312" w:hAnsi="仿宋" w:hint="eastAsia"/>
          <w:sz w:val="24"/>
          <w:szCs w:val="24"/>
        </w:rPr>
        <w:t>使用同样的</w:t>
      </w:r>
      <w:r w:rsidR="004661FE">
        <w:rPr>
          <w:rFonts w:ascii="仿宋_GB2312" w:eastAsia="仿宋_GB2312" w:hAnsi="仿宋" w:hint="eastAsia"/>
          <w:sz w:val="24"/>
          <w:szCs w:val="24"/>
        </w:rPr>
        <w:lastRenderedPageBreak/>
        <w:t>数据解释和数据字典</w:t>
      </w:r>
      <w:r>
        <w:rPr>
          <w:rFonts w:ascii="仿宋_GB2312" w:eastAsia="仿宋_GB2312" w:hAnsi="仿宋" w:hint="eastAsia"/>
          <w:sz w:val="24"/>
          <w:szCs w:val="24"/>
        </w:rPr>
        <w:t>。</w:t>
      </w:r>
      <w:r w:rsidR="004661FE">
        <w:rPr>
          <w:rFonts w:ascii="仿宋_GB2312" w:eastAsia="仿宋_GB2312" w:hAnsi="仿宋" w:hint="eastAsia"/>
          <w:sz w:val="24"/>
          <w:szCs w:val="24"/>
        </w:rPr>
        <w:t>对于采用界面方式报数的，</w:t>
      </w:r>
      <w:r w:rsidR="00F6137A">
        <w:rPr>
          <w:rFonts w:ascii="仿宋_GB2312" w:eastAsia="仿宋_GB2312" w:hAnsi="仿宋" w:hint="eastAsia"/>
          <w:sz w:val="24"/>
          <w:szCs w:val="24"/>
        </w:rPr>
        <w:t>可以区分报表选择规范文件导入（</w:t>
      </w:r>
      <w:r w:rsidR="004661FE">
        <w:rPr>
          <w:rFonts w:ascii="仿宋_GB2312" w:eastAsia="仿宋_GB2312" w:hAnsi="仿宋" w:hint="eastAsia"/>
          <w:sz w:val="24"/>
          <w:szCs w:val="24"/>
        </w:rPr>
        <w:t>在系统操作时将提供规范文件导入的模板，进一步</w:t>
      </w:r>
      <w:r w:rsidR="001E7FB9">
        <w:rPr>
          <w:rFonts w:ascii="仿宋_GB2312" w:eastAsia="仿宋_GB2312" w:hAnsi="仿宋" w:hint="eastAsia"/>
          <w:sz w:val="24"/>
          <w:szCs w:val="24"/>
        </w:rPr>
        <w:t>答复</w:t>
      </w:r>
      <w:r w:rsidR="004661FE">
        <w:rPr>
          <w:rFonts w:ascii="仿宋_GB2312" w:eastAsia="仿宋_GB2312" w:hAnsi="仿宋" w:hint="eastAsia"/>
          <w:sz w:val="24"/>
          <w:szCs w:val="24"/>
        </w:rPr>
        <w:t>见本次问题解答第三部分第3题回答</w:t>
      </w:r>
      <w:r w:rsidR="00F6137A">
        <w:rPr>
          <w:rFonts w:ascii="仿宋_GB2312" w:eastAsia="仿宋_GB2312" w:hAnsi="仿宋" w:hint="eastAsia"/>
          <w:sz w:val="24"/>
          <w:szCs w:val="24"/>
        </w:rPr>
        <w:t>）或手工录入</w:t>
      </w:r>
      <w:r w:rsidR="004661FE">
        <w:rPr>
          <w:rFonts w:ascii="仿宋_GB2312" w:eastAsia="仿宋_GB2312" w:hAnsi="仿宋" w:hint="eastAsia"/>
          <w:sz w:val="24"/>
          <w:szCs w:val="24"/>
        </w:rPr>
        <w:t>。</w:t>
      </w:r>
    </w:p>
    <w:p w:rsidR="0021093E" w:rsidRDefault="0021093E" w:rsidP="00FA6D65">
      <w:pPr>
        <w:spacing w:line="360" w:lineRule="auto"/>
        <w:rPr>
          <w:rFonts w:asciiTheme="minorEastAsia" w:hAnsiTheme="minorEastAsia"/>
          <w:b/>
          <w:sz w:val="24"/>
          <w:szCs w:val="24"/>
        </w:rPr>
      </w:pPr>
    </w:p>
    <w:p w:rsidR="007273A8" w:rsidRPr="003666EA" w:rsidRDefault="00FA6D65" w:rsidP="00FA6D65">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1093E">
        <w:rPr>
          <w:rFonts w:asciiTheme="minorEastAsia" w:hAnsiTheme="minorEastAsia" w:hint="eastAsia"/>
          <w:b/>
          <w:sz w:val="24"/>
          <w:szCs w:val="24"/>
        </w:rPr>
        <w:t>4</w:t>
      </w:r>
      <w:r w:rsidRPr="003666EA">
        <w:rPr>
          <w:rFonts w:asciiTheme="minorEastAsia" w:hAnsiTheme="minorEastAsia" w:hint="eastAsia"/>
          <w:b/>
          <w:sz w:val="24"/>
          <w:szCs w:val="24"/>
        </w:rPr>
        <w:t>：</w:t>
      </w:r>
      <w:r w:rsidR="007273A8" w:rsidRPr="003666EA">
        <w:rPr>
          <w:rFonts w:asciiTheme="minorEastAsia" w:hAnsiTheme="minorEastAsia" w:hint="eastAsia"/>
          <w:b/>
          <w:sz w:val="24"/>
          <w:szCs w:val="24"/>
        </w:rPr>
        <w:t>汇发【201</w:t>
      </w:r>
      <w:r w:rsidR="00CA267A" w:rsidRPr="003666EA">
        <w:rPr>
          <w:rFonts w:asciiTheme="minorEastAsia" w:hAnsiTheme="minorEastAsia" w:hint="eastAsia"/>
          <w:b/>
          <w:sz w:val="24"/>
          <w:szCs w:val="24"/>
        </w:rPr>
        <w:t>3</w:t>
      </w:r>
      <w:r w:rsidR="007273A8" w:rsidRPr="003666EA">
        <w:rPr>
          <w:rFonts w:asciiTheme="minorEastAsia" w:hAnsiTheme="minorEastAsia" w:hint="eastAsia"/>
          <w:b/>
          <w:sz w:val="24"/>
          <w:szCs w:val="24"/>
        </w:rPr>
        <w:t>】43号文规定，境外金融机构在中国境内的主报告分支机构</w:t>
      </w:r>
      <w:r w:rsidRPr="003666EA">
        <w:rPr>
          <w:rFonts w:asciiTheme="minorEastAsia" w:hAnsiTheme="minorEastAsia" w:hint="eastAsia"/>
          <w:b/>
          <w:sz w:val="24"/>
          <w:szCs w:val="24"/>
        </w:rPr>
        <w:t>牵头报送境内各分行业务</w:t>
      </w:r>
      <w:r w:rsidR="00214A12" w:rsidRPr="003666EA">
        <w:rPr>
          <w:rFonts w:asciiTheme="minorEastAsia" w:hAnsiTheme="minorEastAsia" w:hint="eastAsia"/>
          <w:b/>
          <w:sz w:val="24"/>
          <w:szCs w:val="24"/>
        </w:rPr>
        <w:t>。</w:t>
      </w:r>
      <w:r w:rsidR="009F6402">
        <w:rPr>
          <w:rFonts w:asciiTheme="minorEastAsia" w:hAnsiTheme="minorEastAsia" w:hint="eastAsia"/>
          <w:b/>
          <w:sz w:val="24"/>
          <w:szCs w:val="24"/>
        </w:rPr>
        <w:t>对于这些</w:t>
      </w:r>
      <w:r w:rsidR="00CA267A" w:rsidRPr="003666EA">
        <w:rPr>
          <w:rFonts w:asciiTheme="minorEastAsia" w:hAnsiTheme="minorEastAsia" w:hint="eastAsia"/>
          <w:b/>
          <w:sz w:val="24"/>
          <w:szCs w:val="24"/>
        </w:rPr>
        <w:t>牵头</w:t>
      </w:r>
      <w:r w:rsidR="009F6402">
        <w:rPr>
          <w:rFonts w:asciiTheme="minorEastAsia" w:hAnsiTheme="minorEastAsia" w:hint="eastAsia"/>
          <w:b/>
          <w:sz w:val="24"/>
          <w:szCs w:val="24"/>
        </w:rPr>
        <w:t>机构</w:t>
      </w:r>
      <w:r w:rsidR="00CA267A" w:rsidRPr="003666EA">
        <w:rPr>
          <w:rFonts w:asciiTheme="minorEastAsia" w:hAnsiTheme="minorEastAsia" w:hint="eastAsia"/>
          <w:b/>
          <w:sz w:val="24"/>
          <w:szCs w:val="24"/>
        </w:rPr>
        <w:t>而言，</w:t>
      </w:r>
      <w:r w:rsidR="009F6402">
        <w:rPr>
          <w:rFonts w:asciiTheme="minorEastAsia" w:hAnsiTheme="minorEastAsia" w:hint="eastAsia"/>
          <w:b/>
          <w:sz w:val="24"/>
          <w:szCs w:val="24"/>
        </w:rPr>
        <w:t>应该如何</w:t>
      </w:r>
      <w:r w:rsidR="00CA267A" w:rsidRPr="003666EA">
        <w:rPr>
          <w:rFonts w:asciiTheme="minorEastAsia" w:hAnsiTheme="minorEastAsia" w:hint="eastAsia"/>
          <w:b/>
          <w:sz w:val="24"/>
          <w:szCs w:val="24"/>
        </w:rPr>
        <w:t>实现数据报送</w:t>
      </w:r>
      <w:r w:rsidRPr="003666EA">
        <w:rPr>
          <w:rFonts w:asciiTheme="minorEastAsia" w:hAnsiTheme="minorEastAsia" w:hint="eastAsia"/>
          <w:b/>
          <w:sz w:val="24"/>
          <w:szCs w:val="24"/>
        </w:rPr>
        <w:t>？</w:t>
      </w:r>
    </w:p>
    <w:p w:rsidR="0026392A" w:rsidRPr="0026392A" w:rsidRDefault="007273A8" w:rsidP="0026392A">
      <w:pPr>
        <w:spacing w:line="360" w:lineRule="auto"/>
        <w:rPr>
          <w:rFonts w:ascii="仿宋_GB2312" w:eastAsia="仿宋_GB2312" w:hAnsi="仿宋"/>
          <w:sz w:val="24"/>
          <w:szCs w:val="24"/>
        </w:rPr>
      </w:pPr>
      <w:r w:rsidRPr="003666EA">
        <w:rPr>
          <w:rFonts w:asciiTheme="minorEastAsia" w:hAnsiTheme="minorEastAsia" w:hint="eastAsia"/>
          <w:b/>
          <w:sz w:val="24"/>
          <w:szCs w:val="24"/>
        </w:rPr>
        <w:t>答：</w:t>
      </w:r>
      <w:r w:rsidR="0026392A" w:rsidRPr="0026392A">
        <w:rPr>
          <w:rFonts w:ascii="仿宋_GB2312" w:eastAsia="仿宋_GB2312" w:hAnsi="仿宋" w:hint="eastAsia"/>
          <w:sz w:val="24"/>
          <w:szCs w:val="24"/>
        </w:rPr>
        <w:t>根据汇发【2014】18号文，对于</w:t>
      </w:r>
      <w:r w:rsidR="0026392A" w:rsidRPr="0026392A">
        <w:rPr>
          <w:rFonts w:ascii="仿宋_GB2312" w:eastAsia="仿宋_GB2312" w:hAnsiTheme="minorEastAsia" w:hint="eastAsia"/>
          <w:sz w:val="24"/>
          <w:szCs w:val="24"/>
        </w:rPr>
        <w:t>境外金融机构在中国境内的</w:t>
      </w:r>
      <w:r w:rsidR="0026392A" w:rsidRPr="0026392A">
        <w:rPr>
          <w:rFonts w:ascii="仿宋_GB2312" w:eastAsia="仿宋_GB2312" w:hAnsi="仿宋" w:hint="eastAsia"/>
          <w:sz w:val="24"/>
          <w:szCs w:val="24"/>
        </w:rPr>
        <w:t>分支机构，应当由</w:t>
      </w:r>
      <w:r w:rsidR="0026392A" w:rsidRPr="0026392A">
        <w:rPr>
          <w:rFonts w:ascii="仿宋_GB2312" w:eastAsia="仿宋_GB2312" w:hAnsiTheme="minorEastAsia" w:hint="eastAsia"/>
          <w:sz w:val="24"/>
          <w:szCs w:val="24"/>
        </w:rPr>
        <w:t>境外金融机构在中国境内的主报告分支机构（以下简称主报告行）牵头报送境内各分支机构数据</w:t>
      </w:r>
      <w:r w:rsidR="0026392A" w:rsidRPr="0026392A">
        <w:rPr>
          <w:rFonts w:ascii="仿宋_GB2312" w:eastAsia="仿宋_GB2312" w:hAnsi="仿宋" w:hint="eastAsia"/>
          <w:sz w:val="24"/>
          <w:szCs w:val="24"/>
        </w:rPr>
        <w:t>，其流程为：</w:t>
      </w:r>
    </w:p>
    <w:p w:rsidR="0026392A" w:rsidRPr="0026392A" w:rsidRDefault="0026392A" w:rsidP="0026392A">
      <w:pPr>
        <w:spacing w:line="360" w:lineRule="auto"/>
        <w:ind w:firstLineChars="200" w:firstLine="480"/>
        <w:rPr>
          <w:rFonts w:ascii="仿宋_GB2312" w:eastAsia="仿宋_GB2312" w:hAnsi="仿宋"/>
          <w:sz w:val="24"/>
          <w:szCs w:val="24"/>
        </w:rPr>
      </w:pPr>
      <w:r w:rsidRPr="0026392A">
        <w:rPr>
          <w:rFonts w:ascii="仿宋_GB2312" w:eastAsia="仿宋_GB2312" w:hAnsi="仿宋" w:hint="eastAsia"/>
          <w:sz w:val="24"/>
          <w:szCs w:val="24"/>
        </w:rPr>
        <w:t>在数据报送之前，在境内没有设立法人机构的外国金融机构分支机构，应确定主报告行，主报告行负责自身及其它分支机构相关数据报送工作的组织和实施，做好网络设置、接口程序开发、测试和联调等工作。各分支机构将“是否是主报告行”等情况分别向当地外汇局报告，当地外汇局逐级报告国家外汇管理局。主报告行所在地外汇局负责维护这些在华外国金融机构分支机构的数据报送关系，并监测分析该外国金融机构在华</w:t>
      </w:r>
      <w:r w:rsidRPr="0026392A">
        <w:rPr>
          <w:rFonts w:ascii="仿宋_GB2312" w:eastAsia="仿宋_GB2312" w:hAnsi="仿宋" w:hint="eastAsia"/>
          <w:b/>
          <w:sz w:val="24"/>
          <w:szCs w:val="24"/>
        </w:rPr>
        <w:t>所有</w:t>
      </w:r>
      <w:r w:rsidRPr="0026392A">
        <w:rPr>
          <w:rFonts w:ascii="仿宋_GB2312" w:eastAsia="仿宋_GB2312" w:hAnsi="仿宋" w:hint="eastAsia"/>
          <w:sz w:val="24"/>
          <w:szCs w:val="24"/>
        </w:rPr>
        <w:t>分支机构的对外金融资产负债及交易数据。</w:t>
      </w:r>
    </w:p>
    <w:p w:rsidR="0026392A" w:rsidRPr="0026392A" w:rsidRDefault="0026392A" w:rsidP="0026392A">
      <w:pPr>
        <w:spacing w:line="360" w:lineRule="auto"/>
        <w:ind w:firstLineChars="200" w:firstLine="480"/>
        <w:rPr>
          <w:rFonts w:ascii="仿宋_GB2312" w:eastAsia="仿宋_GB2312" w:hAnsi="仿宋"/>
          <w:sz w:val="24"/>
          <w:szCs w:val="24"/>
        </w:rPr>
      </w:pPr>
      <w:r w:rsidRPr="0026392A">
        <w:rPr>
          <w:rFonts w:ascii="仿宋_GB2312" w:eastAsia="仿宋_GB2312" w:hAnsi="仿宋" w:hint="eastAsia"/>
          <w:sz w:val="24"/>
          <w:szCs w:val="24"/>
        </w:rPr>
        <w:t>若采用界面方式进行数据报送，主报告行以自身金融机构标识码登陆外汇局系统，报告自身及其它分支机构数据。在各张报表的“数据自编码”和“填报机构代码”中，填写各分支机构</w:t>
      </w:r>
      <w:r w:rsidR="00324C22" w:rsidRPr="0026392A">
        <w:rPr>
          <w:rFonts w:ascii="仿宋_GB2312" w:eastAsia="仿宋_GB2312" w:hAnsi="仿宋" w:hint="eastAsia"/>
          <w:sz w:val="24"/>
          <w:szCs w:val="24"/>
        </w:rPr>
        <w:t>的</w:t>
      </w:r>
      <w:r w:rsidR="00324C22">
        <w:rPr>
          <w:rFonts w:ascii="仿宋_GB2312" w:eastAsia="仿宋_GB2312" w:hAnsi="仿宋" w:hint="eastAsia"/>
          <w:sz w:val="24"/>
          <w:szCs w:val="24"/>
        </w:rPr>
        <w:t>标识码</w:t>
      </w:r>
      <w:r w:rsidRPr="0026392A">
        <w:rPr>
          <w:rFonts w:ascii="仿宋_GB2312" w:eastAsia="仿宋_GB2312" w:hAnsi="仿宋" w:hint="eastAsia"/>
          <w:sz w:val="24"/>
          <w:szCs w:val="24"/>
        </w:rPr>
        <w:t>。</w:t>
      </w:r>
    </w:p>
    <w:p w:rsidR="0026392A" w:rsidRPr="0026392A" w:rsidRDefault="0026392A" w:rsidP="0026392A">
      <w:pPr>
        <w:spacing w:line="360" w:lineRule="auto"/>
        <w:ind w:firstLineChars="200" w:firstLine="480"/>
        <w:rPr>
          <w:rFonts w:ascii="仿宋_GB2312" w:eastAsia="仿宋_GB2312" w:hAnsi="仿宋"/>
          <w:sz w:val="24"/>
          <w:szCs w:val="24"/>
        </w:rPr>
      </w:pPr>
      <w:r w:rsidRPr="0026392A">
        <w:rPr>
          <w:rFonts w:ascii="仿宋_GB2312" w:eastAsia="仿宋_GB2312" w:hAnsi="仿宋" w:hint="eastAsia"/>
          <w:sz w:val="24"/>
          <w:szCs w:val="24"/>
        </w:rPr>
        <w:t>若采用接口方式进行数据报送，按分支机构分别生</w:t>
      </w:r>
      <w:r w:rsidRPr="0026392A">
        <w:rPr>
          <w:rFonts w:ascii="仿宋_GB2312" w:eastAsia="仿宋_GB2312" w:hAnsi="仿宋"/>
          <w:sz w:val="24"/>
          <w:szCs w:val="24"/>
        </w:rPr>
        <w:t>成接口文件，</w:t>
      </w:r>
      <w:r w:rsidRPr="0026392A">
        <w:rPr>
          <w:rFonts w:ascii="仿宋_GB2312" w:eastAsia="仿宋_GB2312" w:hAnsi="仿宋" w:hint="eastAsia"/>
          <w:sz w:val="24"/>
          <w:szCs w:val="24"/>
        </w:rPr>
        <w:t>共用主报告行建立的与国家外汇管理局之间的网络线路、消息传输系统（MTS）等。在各张报表的“数据自编码”和“填报机构代码”中，填写各分支机构的</w:t>
      </w:r>
      <w:r w:rsidR="00324C22">
        <w:rPr>
          <w:rFonts w:ascii="仿宋_GB2312" w:eastAsia="仿宋_GB2312" w:hAnsi="仿宋" w:hint="eastAsia"/>
          <w:sz w:val="24"/>
          <w:szCs w:val="24"/>
        </w:rPr>
        <w:t>标识码</w:t>
      </w:r>
      <w:r w:rsidRPr="0026392A">
        <w:rPr>
          <w:rFonts w:ascii="仿宋_GB2312" w:eastAsia="仿宋_GB2312" w:hAnsi="仿宋" w:hint="eastAsia"/>
          <w:sz w:val="24"/>
          <w:szCs w:val="24"/>
        </w:rPr>
        <w:t>。</w:t>
      </w:r>
    </w:p>
    <w:p w:rsidR="0026392A" w:rsidRPr="0026392A" w:rsidRDefault="0026392A" w:rsidP="0026392A">
      <w:pPr>
        <w:spacing w:line="360" w:lineRule="auto"/>
        <w:ind w:firstLineChars="200" w:firstLine="480"/>
        <w:rPr>
          <w:rFonts w:ascii="仿宋_GB2312" w:eastAsia="仿宋_GB2312" w:hAnsi="仿宋"/>
          <w:sz w:val="24"/>
          <w:szCs w:val="24"/>
        </w:rPr>
      </w:pPr>
      <w:r w:rsidRPr="0026392A">
        <w:rPr>
          <w:rFonts w:ascii="仿宋_GB2312" w:eastAsia="仿宋_GB2312" w:hAnsi="仿宋" w:hint="eastAsia"/>
          <w:sz w:val="24"/>
          <w:szCs w:val="24"/>
        </w:rPr>
        <w:t>举例来说，境外金融机构总部为Z，Z在中国境内的主报告分支机构A</w:t>
      </w:r>
      <w:r w:rsidR="00237B13">
        <w:rPr>
          <w:rFonts w:ascii="仿宋_GB2312" w:eastAsia="仿宋_GB2312" w:hAnsi="仿宋" w:hint="eastAsia"/>
          <w:sz w:val="24"/>
          <w:szCs w:val="24"/>
        </w:rPr>
        <w:t>（天津）</w:t>
      </w:r>
      <w:r w:rsidRPr="0026392A">
        <w:rPr>
          <w:rFonts w:ascii="仿宋_GB2312" w:eastAsia="仿宋_GB2312" w:hAnsi="仿宋" w:hint="eastAsia"/>
          <w:sz w:val="24"/>
          <w:szCs w:val="24"/>
        </w:rPr>
        <w:t>代表该境外金融机构在</w:t>
      </w:r>
      <w:r w:rsidR="00237B13">
        <w:rPr>
          <w:rFonts w:ascii="仿宋_GB2312" w:eastAsia="仿宋_GB2312" w:hAnsi="仿宋" w:hint="eastAsia"/>
          <w:sz w:val="24"/>
          <w:szCs w:val="24"/>
        </w:rPr>
        <w:t>天津、</w:t>
      </w:r>
      <w:r w:rsidRPr="0026392A">
        <w:rPr>
          <w:rFonts w:ascii="仿宋_GB2312" w:eastAsia="仿宋_GB2312" w:hAnsi="仿宋" w:hint="eastAsia"/>
          <w:sz w:val="24"/>
          <w:szCs w:val="24"/>
        </w:rPr>
        <w:t>北京、上海、广东和深圳的</w:t>
      </w:r>
      <w:r w:rsidR="00237B13">
        <w:rPr>
          <w:rFonts w:ascii="仿宋_GB2312" w:eastAsia="仿宋_GB2312" w:hAnsi="仿宋" w:hint="eastAsia"/>
          <w:sz w:val="24"/>
          <w:szCs w:val="24"/>
        </w:rPr>
        <w:t>A</w:t>
      </w:r>
      <w:r w:rsidR="00237B13" w:rsidRPr="0026392A">
        <w:rPr>
          <w:rFonts w:ascii="仿宋_GB2312" w:eastAsia="仿宋_GB2312" w:hAnsi="仿宋" w:hint="eastAsia"/>
          <w:sz w:val="24"/>
          <w:szCs w:val="24"/>
        </w:rPr>
        <w:t>、</w:t>
      </w:r>
      <w:r w:rsidRPr="0026392A">
        <w:rPr>
          <w:rFonts w:ascii="仿宋_GB2312" w:eastAsia="仿宋_GB2312" w:hAnsi="仿宋" w:hint="eastAsia"/>
          <w:sz w:val="24"/>
          <w:szCs w:val="24"/>
        </w:rPr>
        <w:t>B、C、D和E分行报送数据，数据报送方式为接口。A作为数据报送点与国家外汇管理局间已有数据报送通道。</w:t>
      </w:r>
    </w:p>
    <w:p w:rsidR="00D50FB2" w:rsidRDefault="0026392A" w:rsidP="0026392A">
      <w:pPr>
        <w:spacing w:line="360" w:lineRule="auto"/>
        <w:ind w:firstLineChars="200" w:firstLine="480"/>
        <w:rPr>
          <w:rFonts w:ascii="仿宋_GB2312" w:eastAsia="仿宋_GB2312" w:hAnsi="仿宋"/>
          <w:sz w:val="24"/>
          <w:szCs w:val="24"/>
        </w:rPr>
      </w:pPr>
      <w:r w:rsidRPr="0026392A">
        <w:rPr>
          <w:rFonts w:ascii="仿宋_GB2312" w:eastAsia="仿宋_GB2312" w:hAnsi="仿宋" w:hint="eastAsia"/>
          <w:sz w:val="24"/>
          <w:szCs w:val="24"/>
        </w:rPr>
        <w:t>按A、B、C、D、E的机构代码分成5个接口控制文件。在每张报表数据的“数据自编码”和“填报机构代码”中分别使用A、B、C、D和E各自机构代码，共用A与国家外汇管理局的数据报送通道报送对应机构的数据。</w:t>
      </w:r>
    </w:p>
    <w:p w:rsidR="009B2C3B" w:rsidRDefault="009B2C3B" w:rsidP="00367FB8">
      <w:pPr>
        <w:spacing w:line="360" w:lineRule="auto"/>
        <w:ind w:firstLineChars="200" w:firstLine="480"/>
        <w:rPr>
          <w:rFonts w:ascii="仿宋_GB2312" w:eastAsia="仿宋_GB2312" w:hAnsi="仿宋"/>
          <w:sz w:val="24"/>
          <w:szCs w:val="24"/>
        </w:rPr>
      </w:pPr>
    </w:p>
    <w:p w:rsidR="00F4373F" w:rsidRPr="00F4373F" w:rsidRDefault="00F4373F" w:rsidP="00F4373F">
      <w:pPr>
        <w:spacing w:line="360" w:lineRule="auto"/>
        <w:rPr>
          <w:rFonts w:asciiTheme="minorEastAsia" w:hAnsiTheme="minorEastAsia" w:cs="宋体"/>
          <w:b/>
          <w:kern w:val="0"/>
          <w:sz w:val="24"/>
          <w:szCs w:val="24"/>
        </w:rPr>
      </w:pPr>
      <w:r w:rsidRPr="00F4373F">
        <w:rPr>
          <w:rFonts w:asciiTheme="minorEastAsia" w:hAnsiTheme="minorEastAsia" w:cs="宋体" w:hint="eastAsia"/>
          <w:b/>
          <w:kern w:val="0"/>
          <w:sz w:val="24"/>
          <w:szCs w:val="24"/>
        </w:rPr>
        <w:lastRenderedPageBreak/>
        <w:t>问题5：由于</w:t>
      </w:r>
      <w:r w:rsidR="00237B13">
        <w:rPr>
          <w:rFonts w:asciiTheme="minorEastAsia" w:hAnsiTheme="minorEastAsia" w:cs="宋体" w:hint="eastAsia"/>
          <w:b/>
          <w:kern w:val="0"/>
          <w:sz w:val="24"/>
          <w:szCs w:val="24"/>
        </w:rPr>
        <w:t>部分</w:t>
      </w:r>
      <w:r w:rsidRPr="00F4373F">
        <w:rPr>
          <w:rFonts w:asciiTheme="minorEastAsia" w:hAnsiTheme="minorEastAsia" w:cs="宋体" w:hint="eastAsia"/>
          <w:b/>
          <w:kern w:val="0"/>
          <w:sz w:val="24"/>
          <w:szCs w:val="24"/>
        </w:rPr>
        <w:t>涉外业务是在境内分支机构的层面发生的，境内法人机构是否应</w:t>
      </w:r>
      <w:r w:rsidR="00D578BB">
        <w:rPr>
          <w:rFonts w:asciiTheme="minorEastAsia" w:hAnsiTheme="minorEastAsia" w:cs="宋体" w:hint="eastAsia"/>
          <w:b/>
          <w:kern w:val="0"/>
          <w:sz w:val="24"/>
          <w:szCs w:val="24"/>
        </w:rPr>
        <w:t>使用</w:t>
      </w:r>
      <w:r>
        <w:rPr>
          <w:rFonts w:asciiTheme="minorEastAsia" w:hAnsiTheme="minorEastAsia" w:cs="宋体" w:hint="eastAsia"/>
          <w:b/>
          <w:kern w:val="0"/>
          <w:sz w:val="24"/>
          <w:szCs w:val="24"/>
        </w:rPr>
        <w:t>分支机构</w:t>
      </w:r>
      <w:r w:rsidR="001D78D1">
        <w:rPr>
          <w:rFonts w:asciiTheme="minorEastAsia" w:hAnsiTheme="minorEastAsia" w:cs="宋体" w:hint="eastAsia"/>
          <w:b/>
          <w:kern w:val="0"/>
          <w:sz w:val="24"/>
          <w:szCs w:val="24"/>
        </w:rPr>
        <w:t>的金融机构标识</w:t>
      </w:r>
      <w:r>
        <w:rPr>
          <w:rFonts w:asciiTheme="minorEastAsia" w:hAnsiTheme="minorEastAsia" w:cs="宋体" w:hint="eastAsia"/>
          <w:b/>
          <w:kern w:val="0"/>
          <w:sz w:val="24"/>
          <w:szCs w:val="24"/>
        </w:rPr>
        <w:t>码</w:t>
      </w:r>
      <w:r w:rsidR="001D78D1">
        <w:rPr>
          <w:rFonts w:asciiTheme="minorEastAsia" w:hAnsiTheme="minorEastAsia" w:cs="宋体" w:hint="eastAsia"/>
          <w:b/>
          <w:kern w:val="0"/>
          <w:sz w:val="24"/>
          <w:szCs w:val="24"/>
        </w:rPr>
        <w:t>来</w:t>
      </w:r>
      <w:r>
        <w:rPr>
          <w:rFonts w:asciiTheme="minorEastAsia" w:hAnsiTheme="minorEastAsia" w:cs="宋体" w:hint="eastAsia"/>
          <w:b/>
          <w:kern w:val="0"/>
          <w:sz w:val="24"/>
          <w:szCs w:val="24"/>
        </w:rPr>
        <w:t>编制</w:t>
      </w:r>
      <w:r w:rsidR="001D78D1">
        <w:rPr>
          <w:rFonts w:asciiTheme="minorEastAsia" w:hAnsiTheme="minorEastAsia" w:cs="宋体" w:hint="eastAsia"/>
          <w:b/>
          <w:kern w:val="0"/>
          <w:sz w:val="24"/>
          <w:szCs w:val="24"/>
        </w:rPr>
        <w:t>各表的</w:t>
      </w:r>
      <w:r>
        <w:rPr>
          <w:rFonts w:asciiTheme="minorEastAsia" w:hAnsiTheme="minorEastAsia" w:cs="宋体" w:hint="eastAsia"/>
          <w:b/>
          <w:kern w:val="0"/>
          <w:sz w:val="24"/>
          <w:szCs w:val="24"/>
        </w:rPr>
        <w:t>数据自编码和机构代码</w:t>
      </w:r>
      <w:r w:rsidRPr="00F4373F">
        <w:rPr>
          <w:rFonts w:asciiTheme="minorEastAsia" w:hAnsiTheme="minorEastAsia" w:cs="宋体" w:hint="eastAsia"/>
          <w:b/>
          <w:kern w:val="0"/>
          <w:sz w:val="24"/>
          <w:szCs w:val="24"/>
        </w:rPr>
        <w:t>？</w:t>
      </w:r>
    </w:p>
    <w:p w:rsidR="00F4373F" w:rsidRDefault="00F4373F" w:rsidP="00F4373F">
      <w:pPr>
        <w:spacing w:line="360" w:lineRule="auto"/>
        <w:rPr>
          <w:rFonts w:asciiTheme="minorEastAsia" w:hAnsiTheme="minorEastAsia" w:cs="宋体"/>
          <w:kern w:val="0"/>
          <w:sz w:val="24"/>
          <w:szCs w:val="24"/>
        </w:rPr>
      </w:pPr>
      <w:r w:rsidRPr="00F4373F">
        <w:rPr>
          <w:rFonts w:asciiTheme="minorEastAsia" w:hAnsiTheme="minorEastAsia" w:cs="宋体" w:hint="eastAsia"/>
          <w:b/>
          <w:kern w:val="0"/>
          <w:sz w:val="24"/>
          <w:szCs w:val="24"/>
        </w:rPr>
        <w:t>答：</w:t>
      </w:r>
      <w:r>
        <w:rPr>
          <w:rFonts w:ascii="仿宋_GB2312" w:eastAsia="仿宋_GB2312" w:hAnsiTheme="minorEastAsia" w:cs="宋体" w:hint="eastAsia"/>
          <w:kern w:val="0"/>
          <w:sz w:val="24"/>
          <w:szCs w:val="24"/>
        </w:rPr>
        <w:t>境内设立了法人机构的金融机构，应当以法人机构</w:t>
      </w:r>
      <w:r w:rsidR="00324C22">
        <w:rPr>
          <w:rFonts w:ascii="仿宋_GB2312" w:eastAsia="仿宋_GB2312" w:hAnsiTheme="minorEastAsia" w:cs="宋体" w:hint="eastAsia"/>
          <w:kern w:val="0"/>
          <w:sz w:val="24"/>
          <w:szCs w:val="24"/>
        </w:rPr>
        <w:t>标识</w:t>
      </w:r>
      <w:r>
        <w:rPr>
          <w:rFonts w:ascii="仿宋_GB2312" w:eastAsia="仿宋_GB2312" w:hAnsiTheme="minorEastAsia" w:cs="宋体" w:hint="eastAsia"/>
          <w:kern w:val="0"/>
          <w:sz w:val="24"/>
          <w:szCs w:val="24"/>
        </w:rPr>
        <w:t>码登陆系统或生成接口文件名，及报送</w:t>
      </w:r>
      <w:r>
        <w:rPr>
          <w:rFonts w:ascii="仿宋_GB2312" w:eastAsia="仿宋_GB2312" w:hAnsi="仿宋" w:hint="eastAsia"/>
          <w:sz w:val="24"/>
          <w:szCs w:val="24"/>
        </w:rPr>
        <w:t>各</w:t>
      </w:r>
      <w:r w:rsidRPr="003666EA">
        <w:rPr>
          <w:rFonts w:ascii="仿宋_GB2312" w:eastAsia="仿宋_GB2312" w:hAnsi="仿宋" w:hint="eastAsia"/>
          <w:sz w:val="24"/>
          <w:szCs w:val="24"/>
        </w:rPr>
        <w:t>张报表的“数据自编码”和“填报机构代码”</w:t>
      </w:r>
      <w:r w:rsidR="00324C22">
        <w:rPr>
          <w:rFonts w:ascii="仿宋_GB2312" w:eastAsia="仿宋_GB2312" w:hAnsi="仿宋" w:hint="eastAsia"/>
          <w:sz w:val="24"/>
          <w:szCs w:val="24"/>
        </w:rPr>
        <w:t>，以上任何环节均不能使用分支机构标识码</w:t>
      </w:r>
      <w:r>
        <w:rPr>
          <w:rFonts w:ascii="仿宋_GB2312" w:eastAsia="仿宋_GB2312" w:hAnsi="仿宋" w:hint="eastAsia"/>
          <w:sz w:val="24"/>
          <w:szCs w:val="24"/>
        </w:rPr>
        <w:t>。</w:t>
      </w:r>
    </w:p>
    <w:p w:rsidR="00DA601F" w:rsidRPr="004903D5" w:rsidRDefault="00DA601F" w:rsidP="004903D5">
      <w:pPr>
        <w:spacing w:line="360" w:lineRule="auto"/>
        <w:ind w:firstLineChars="250" w:firstLine="600"/>
        <w:rPr>
          <w:rFonts w:ascii="仿宋_GB2312" w:eastAsia="仿宋_GB2312" w:hAnsiTheme="minorEastAsia" w:cs="宋体"/>
          <w:kern w:val="0"/>
          <w:sz w:val="24"/>
          <w:szCs w:val="24"/>
        </w:rPr>
      </w:pPr>
    </w:p>
    <w:p w:rsidR="007C199E" w:rsidRPr="003666EA" w:rsidRDefault="00F64764" w:rsidP="006629EB">
      <w:pPr>
        <w:spacing w:line="360" w:lineRule="auto"/>
        <w:rPr>
          <w:rFonts w:asciiTheme="minorEastAsia" w:hAnsiTheme="minorEastAsia"/>
          <w:b/>
          <w:color w:val="FF0000"/>
          <w:sz w:val="24"/>
          <w:szCs w:val="24"/>
        </w:rPr>
      </w:pPr>
      <w:r w:rsidRPr="003666EA">
        <w:rPr>
          <w:rFonts w:asciiTheme="minorEastAsia" w:hAnsiTheme="minorEastAsia" w:hint="eastAsia"/>
          <w:b/>
          <w:sz w:val="24"/>
          <w:szCs w:val="24"/>
        </w:rPr>
        <w:t>问题</w:t>
      </w:r>
      <w:r w:rsidR="00D026EC">
        <w:rPr>
          <w:rFonts w:asciiTheme="minorEastAsia" w:hAnsiTheme="minorEastAsia" w:hint="eastAsia"/>
          <w:b/>
          <w:sz w:val="24"/>
          <w:szCs w:val="24"/>
        </w:rPr>
        <w:t>6</w:t>
      </w:r>
      <w:r w:rsidR="008E1FF0" w:rsidRPr="003666EA">
        <w:rPr>
          <w:rFonts w:asciiTheme="minorEastAsia" w:hAnsiTheme="minorEastAsia" w:hint="eastAsia"/>
          <w:b/>
          <w:sz w:val="24"/>
          <w:szCs w:val="24"/>
        </w:rPr>
        <w:t>：《对外金融资产负债及交易统计制度》规定采用零报送制度，对于没有业务的报表需要填写零吗？</w:t>
      </w:r>
      <w:r w:rsidR="002A0EB1" w:rsidRPr="003666EA">
        <w:rPr>
          <w:rFonts w:asciiTheme="minorEastAsia" w:hAnsiTheme="minorEastAsia"/>
          <w:b/>
          <w:color w:val="FF0000"/>
          <w:sz w:val="24"/>
          <w:szCs w:val="24"/>
        </w:rPr>
        <w:t xml:space="preserve"> </w:t>
      </w:r>
    </w:p>
    <w:p w:rsidR="005B6F91" w:rsidRPr="003666EA" w:rsidRDefault="008E1FF0" w:rsidP="005B6F91">
      <w:pPr>
        <w:spacing w:line="360" w:lineRule="auto"/>
        <w:rPr>
          <w:rFonts w:ascii="仿宋_GB2312" w:eastAsia="仿宋_GB2312" w:hAnsi="仿宋" w:cs="宋体"/>
          <w:kern w:val="0"/>
          <w:sz w:val="24"/>
          <w:szCs w:val="24"/>
        </w:rPr>
      </w:pPr>
      <w:r w:rsidRPr="003666EA">
        <w:rPr>
          <w:rFonts w:ascii="仿宋" w:eastAsia="仿宋" w:hAnsi="仿宋" w:hint="eastAsia"/>
          <w:b/>
          <w:sz w:val="24"/>
          <w:szCs w:val="24"/>
        </w:rPr>
        <w:t>答：</w:t>
      </w:r>
      <w:r w:rsidR="005B6F91" w:rsidRPr="003666EA">
        <w:rPr>
          <w:rFonts w:ascii="仿宋_GB2312" w:eastAsia="仿宋_GB2312" w:hAnsi="仿宋" w:hint="eastAsia"/>
          <w:sz w:val="24"/>
          <w:szCs w:val="24"/>
        </w:rPr>
        <w:t>《对外金融资产负债及交易统计制度》(汇发[2013]43号)规定的零报送制度，主要通过</w:t>
      </w:r>
      <w:r w:rsidR="005B6F91" w:rsidRPr="003666EA">
        <w:rPr>
          <w:rFonts w:ascii="仿宋_GB2312" w:eastAsia="仿宋_GB2312" w:hAnsi="仿宋" w:cs="宋体" w:hint="eastAsia"/>
          <w:kern w:val="0"/>
          <w:sz w:val="24"/>
          <w:szCs w:val="24"/>
        </w:rPr>
        <w:t xml:space="preserve">《金融机构外汇业务数据采集规范（1.0）版》(汇发[2014]18号)第6.9节的Z02表实现。其实现流程是： </w:t>
      </w:r>
    </w:p>
    <w:p w:rsidR="00600B38" w:rsidRPr="003666EA" w:rsidRDefault="005B6F91" w:rsidP="00600B38">
      <w:pPr>
        <w:spacing w:line="360" w:lineRule="auto"/>
        <w:ind w:firstLineChars="200" w:firstLine="480"/>
        <w:rPr>
          <w:rFonts w:ascii="仿宋_GB2312" w:eastAsia="仿宋_GB2312" w:hAnsi="仿宋" w:cs="宋体"/>
          <w:kern w:val="0"/>
          <w:sz w:val="24"/>
          <w:szCs w:val="24"/>
        </w:rPr>
      </w:pPr>
      <w:r w:rsidRPr="003666EA">
        <w:rPr>
          <w:rFonts w:ascii="仿宋_GB2312" w:eastAsia="仿宋_GB2312" w:hAnsi="仿宋" w:cs="宋体" w:hint="eastAsia"/>
          <w:kern w:val="0"/>
          <w:sz w:val="24"/>
          <w:szCs w:val="24"/>
        </w:rPr>
        <w:t>首先，</w:t>
      </w:r>
      <w:r w:rsidR="00045393" w:rsidRPr="003B30DE">
        <w:rPr>
          <w:rFonts w:ascii="仿宋_GB2312" w:eastAsia="仿宋_GB2312" w:hAnsi="仿宋" w:cs="宋体" w:hint="eastAsia"/>
          <w:color w:val="FF0000"/>
          <w:kern w:val="0"/>
          <w:sz w:val="24"/>
          <w:szCs w:val="24"/>
        </w:rPr>
        <w:t>无论初次还是后续各月报送数据，所有申报机构均应填写Z01表。</w:t>
      </w:r>
      <w:r w:rsidR="00045393" w:rsidRPr="003B30DE">
        <w:rPr>
          <w:rFonts w:ascii="仿宋_GB2312" w:eastAsia="仿宋_GB2312" w:hAnsi="仿宋" w:cs="宋体" w:hint="eastAsia"/>
          <w:strike/>
          <w:color w:val="FF0000"/>
          <w:kern w:val="0"/>
          <w:sz w:val="24"/>
          <w:szCs w:val="24"/>
        </w:rPr>
        <w:t>后续报送各月数据时，如果Z01表信息无变更，则不必每月更新；如果Z01表信息发生变更，应在对应报告期进行更新填报。同时，无论初次还是后续各月参加数据报送，</w:t>
      </w:r>
      <w:r w:rsidR="00045393" w:rsidRPr="00045393">
        <w:rPr>
          <w:rFonts w:ascii="仿宋_GB2312" w:eastAsia="仿宋_GB2312" w:hAnsi="仿宋" w:cs="宋体" w:hint="eastAsia"/>
          <w:kern w:val="0"/>
          <w:sz w:val="24"/>
          <w:szCs w:val="24"/>
        </w:rPr>
        <w:t>且各月</w:t>
      </w:r>
      <w:r w:rsidR="00045393">
        <w:rPr>
          <w:rFonts w:ascii="仿宋_GB2312" w:eastAsia="仿宋_GB2312" w:hAnsi="仿宋" w:cs="宋体" w:hint="eastAsia"/>
          <w:kern w:val="0"/>
          <w:sz w:val="24"/>
          <w:szCs w:val="24"/>
        </w:rPr>
        <w:t>Z02表中与Z01相关的Z0201项目必须选择1(是)</w:t>
      </w:r>
      <w:r w:rsidR="00600B38">
        <w:rPr>
          <w:rFonts w:ascii="仿宋_GB2312" w:eastAsia="仿宋_GB2312" w:hAnsi="仿宋" w:cs="宋体" w:hint="eastAsia"/>
          <w:kern w:val="0"/>
          <w:sz w:val="24"/>
          <w:szCs w:val="24"/>
        </w:rPr>
        <w:t>。</w:t>
      </w:r>
    </w:p>
    <w:p w:rsidR="005B6F91" w:rsidRPr="003666EA" w:rsidRDefault="005B6F91" w:rsidP="005B6F91">
      <w:pPr>
        <w:spacing w:line="360" w:lineRule="auto"/>
        <w:ind w:firstLineChars="200" w:firstLine="480"/>
        <w:rPr>
          <w:rFonts w:ascii="仿宋_GB2312" w:eastAsia="仿宋_GB2312" w:hAnsi="仿宋" w:cs="宋体"/>
          <w:kern w:val="0"/>
          <w:sz w:val="24"/>
          <w:szCs w:val="24"/>
        </w:rPr>
      </w:pPr>
      <w:r w:rsidRPr="003666EA">
        <w:rPr>
          <w:rFonts w:ascii="仿宋_GB2312" w:eastAsia="仿宋_GB2312" w:hAnsi="仿宋" w:cs="宋体" w:hint="eastAsia"/>
          <w:kern w:val="0"/>
          <w:sz w:val="24"/>
          <w:szCs w:val="24"/>
        </w:rPr>
        <w:t>其次，无论初次还是后续各月</w:t>
      </w:r>
      <w:r>
        <w:rPr>
          <w:rFonts w:ascii="仿宋_GB2312" w:eastAsia="仿宋_GB2312" w:hAnsi="仿宋" w:cs="宋体" w:hint="eastAsia"/>
          <w:kern w:val="0"/>
          <w:sz w:val="24"/>
          <w:szCs w:val="24"/>
        </w:rPr>
        <w:t>报送</w:t>
      </w:r>
      <w:r w:rsidRPr="003666EA">
        <w:rPr>
          <w:rFonts w:ascii="仿宋_GB2312" w:eastAsia="仿宋_GB2312" w:hAnsi="仿宋" w:cs="宋体" w:hint="eastAsia"/>
          <w:kern w:val="0"/>
          <w:sz w:val="24"/>
          <w:szCs w:val="24"/>
        </w:rPr>
        <w:t>数据，所有申报机构均应按月填报或更新Z02表</w:t>
      </w:r>
      <w:r w:rsidR="00600B38">
        <w:rPr>
          <w:rFonts w:ascii="仿宋_GB2312" w:eastAsia="仿宋_GB2312" w:hAnsi="仿宋" w:cs="宋体" w:hint="eastAsia"/>
          <w:kern w:val="0"/>
          <w:sz w:val="24"/>
          <w:szCs w:val="24"/>
        </w:rPr>
        <w:t>中除Z01表外的</w:t>
      </w:r>
      <w:r w:rsidRPr="003666EA">
        <w:rPr>
          <w:rFonts w:ascii="仿宋_GB2312" w:eastAsia="仿宋_GB2312" w:hAnsi="仿宋" w:cs="宋体" w:hint="eastAsia"/>
          <w:kern w:val="0"/>
          <w:sz w:val="24"/>
          <w:szCs w:val="24"/>
        </w:rPr>
        <w:t>全部3</w:t>
      </w:r>
      <w:r w:rsidR="00600B38">
        <w:rPr>
          <w:rFonts w:ascii="仿宋_GB2312" w:eastAsia="仿宋_GB2312" w:hAnsi="仿宋" w:cs="宋体" w:hint="eastAsia"/>
          <w:kern w:val="0"/>
          <w:sz w:val="24"/>
          <w:szCs w:val="24"/>
        </w:rPr>
        <w:t>3</w:t>
      </w:r>
      <w:r w:rsidRPr="003666EA">
        <w:rPr>
          <w:rFonts w:ascii="仿宋_GB2312" w:eastAsia="仿宋_GB2312" w:hAnsi="仿宋" w:cs="宋体" w:hint="eastAsia"/>
          <w:kern w:val="0"/>
          <w:sz w:val="24"/>
          <w:szCs w:val="24"/>
        </w:rPr>
        <w:t>张报表业务情况</w:t>
      </w:r>
      <w:r w:rsidR="00600B38">
        <w:rPr>
          <w:rFonts w:ascii="仿宋_GB2312" w:eastAsia="仿宋_GB2312" w:hAnsi="仿宋" w:cs="宋体" w:hint="eastAsia"/>
          <w:kern w:val="0"/>
          <w:sz w:val="24"/>
          <w:szCs w:val="24"/>
        </w:rPr>
        <w:t>（从Z02至X01表）</w:t>
      </w:r>
      <w:r w:rsidRPr="003666EA">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这是</w:t>
      </w:r>
      <w:r w:rsidRPr="003666EA">
        <w:rPr>
          <w:rFonts w:ascii="仿宋_GB2312" w:eastAsia="仿宋_GB2312" w:hAnsi="仿宋" w:cs="宋体" w:hint="eastAsia"/>
          <w:kern w:val="0"/>
          <w:sz w:val="24"/>
          <w:szCs w:val="24"/>
        </w:rPr>
        <w:t>实现无业务报表零报送</w:t>
      </w:r>
      <w:r>
        <w:rPr>
          <w:rFonts w:ascii="仿宋_GB2312" w:eastAsia="仿宋_GB2312" w:hAnsi="仿宋" w:cs="宋体" w:hint="eastAsia"/>
          <w:kern w:val="0"/>
          <w:sz w:val="24"/>
          <w:szCs w:val="24"/>
        </w:rPr>
        <w:t>的关键</w:t>
      </w:r>
      <w:r w:rsidRPr="003666EA">
        <w:rPr>
          <w:rFonts w:ascii="仿宋_GB2312" w:eastAsia="仿宋_GB2312" w:hAnsi="仿宋" w:cs="宋体" w:hint="eastAsia"/>
          <w:kern w:val="0"/>
          <w:sz w:val="24"/>
          <w:szCs w:val="24"/>
        </w:rPr>
        <w:t>。具体方法是：对于本机构涉及的</w:t>
      </w:r>
      <w:r>
        <w:rPr>
          <w:rFonts w:ascii="仿宋_GB2312" w:eastAsia="仿宋_GB2312" w:hAnsi="仿宋" w:cs="宋体" w:hint="eastAsia"/>
          <w:kern w:val="0"/>
          <w:sz w:val="24"/>
          <w:szCs w:val="24"/>
        </w:rPr>
        <w:t>报表</w:t>
      </w:r>
      <w:r w:rsidRPr="003666EA">
        <w:rPr>
          <w:rFonts w:ascii="仿宋_GB2312" w:eastAsia="仿宋_GB2312" w:hAnsi="仿宋" w:cs="宋体" w:hint="eastAsia"/>
          <w:kern w:val="0"/>
          <w:sz w:val="24"/>
          <w:szCs w:val="24"/>
        </w:rPr>
        <w:t>，</w:t>
      </w:r>
      <w:r w:rsidR="00E74B8E">
        <w:rPr>
          <w:rFonts w:ascii="仿宋_GB2312" w:eastAsia="仿宋_GB2312" w:hAnsi="仿宋" w:cs="宋体" w:hint="eastAsia"/>
          <w:kern w:val="0"/>
          <w:sz w:val="24"/>
          <w:szCs w:val="24"/>
        </w:rPr>
        <w:t>该张报表的</w:t>
      </w:r>
      <w:r w:rsidRPr="003666EA">
        <w:rPr>
          <w:rFonts w:ascii="仿宋_GB2312" w:eastAsia="仿宋_GB2312" w:hAnsi="仿宋" w:cs="宋体" w:hint="eastAsia"/>
          <w:kern w:val="0"/>
          <w:sz w:val="24"/>
          <w:szCs w:val="24"/>
        </w:rPr>
        <w:t>Z0201项目应选择1（是），并填写Z0202至Z0206字段的信息，且对应各表均应填写数据；如果Z0201项目选择0（否），则Z0202至Z0206字段为空，且对应各表不再报送。</w:t>
      </w:r>
    </w:p>
    <w:p w:rsidR="005B6F91" w:rsidRPr="003666EA" w:rsidRDefault="005B6F91" w:rsidP="005B6F91">
      <w:pPr>
        <w:spacing w:line="360" w:lineRule="auto"/>
        <w:ind w:firstLineChars="200" w:firstLine="480"/>
        <w:rPr>
          <w:rFonts w:ascii="仿宋_GB2312" w:eastAsia="仿宋_GB2312" w:hAnsi="仿宋" w:cs="宋体"/>
          <w:kern w:val="0"/>
          <w:sz w:val="24"/>
          <w:szCs w:val="24"/>
        </w:rPr>
      </w:pPr>
      <w:r w:rsidRPr="003666EA">
        <w:rPr>
          <w:rFonts w:ascii="仿宋_GB2312" w:eastAsia="仿宋_GB2312" w:hAnsi="仿宋" w:cs="宋体" w:hint="eastAsia"/>
          <w:kern w:val="0"/>
          <w:sz w:val="24"/>
          <w:szCs w:val="24"/>
        </w:rPr>
        <w:t>如，本机构涉及Z01、Z02、Z03、B02和E01共5张报表业务。则本机构在填报Z02表时，应</w:t>
      </w:r>
      <w:r>
        <w:rPr>
          <w:rFonts w:ascii="仿宋_GB2312" w:eastAsia="仿宋_GB2312" w:hAnsi="仿宋" w:cs="宋体" w:hint="eastAsia"/>
          <w:kern w:val="0"/>
          <w:sz w:val="24"/>
          <w:szCs w:val="24"/>
        </w:rPr>
        <w:t>在表号中</w:t>
      </w:r>
      <w:r w:rsidRPr="003666EA">
        <w:rPr>
          <w:rFonts w:ascii="仿宋_GB2312" w:eastAsia="仿宋_GB2312" w:hAnsi="仿宋" w:cs="宋体" w:hint="eastAsia"/>
          <w:kern w:val="0"/>
          <w:sz w:val="24"/>
          <w:szCs w:val="24"/>
        </w:rPr>
        <w:t>填写Z01、Z02、Z03、B02和E01</w:t>
      </w:r>
      <w:r>
        <w:rPr>
          <w:rFonts w:ascii="仿宋_GB2312" w:eastAsia="仿宋_GB2312" w:hAnsi="仿宋" w:cs="宋体" w:hint="eastAsia"/>
          <w:kern w:val="0"/>
          <w:sz w:val="24"/>
          <w:szCs w:val="24"/>
        </w:rPr>
        <w:t>，其对应的</w:t>
      </w:r>
      <w:r w:rsidRPr="003666EA">
        <w:rPr>
          <w:rFonts w:ascii="仿宋_GB2312" w:eastAsia="仿宋_GB2312" w:hAnsi="仿宋" w:cs="宋体" w:hint="eastAsia"/>
          <w:kern w:val="0"/>
          <w:sz w:val="24"/>
          <w:szCs w:val="24"/>
        </w:rPr>
        <w:t>Z0201</w:t>
      </w:r>
      <w:r>
        <w:rPr>
          <w:rFonts w:ascii="仿宋_GB2312" w:eastAsia="仿宋_GB2312" w:hAnsi="仿宋" w:cs="宋体" w:hint="eastAsia"/>
          <w:kern w:val="0"/>
          <w:sz w:val="24"/>
          <w:szCs w:val="24"/>
        </w:rPr>
        <w:t>选择</w:t>
      </w:r>
      <w:r w:rsidRPr="003666EA">
        <w:rPr>
          <w:rFonts w:ascii="仿宋_GB2312" w:eastAsia="仿宋_GB2312" w:hAnsi="仿宋" w:cs="宋体" w:hint="eastAsia"/>
          <w:kern w:val="0"/>
          <w:sz w:val="24"/>
          <w:szCs w:val="24"/>
        </w:rPr>
        <w:t>“1”，填写相应报表的Z0202至Z0206各字段，并填写相应报表数据。其余各表号的Z0201选择“0”，其对应的Z0202至Z0206为空，相应报表无需报送。</w:t>
      </w:r>
    </w:p>
    <w:p w:rsidR="005B6F91" w:rsidRPr="003666EA" w:rsidRDefault="005B6F91" w:rsidP="005B6F91">
      <w:pPr>
        <w:spacing w:line="360" w:lineRule="auto"/>
        <w:ind w:firstLineChars="200" w:firstLine="480"/>
        <w:rPr>
          <w:rFonts w:ascii="仿宋_GB2312" w:eastAsia="仿宋_GB2312" w:hAnsi="仿宋"/>
          <w:sz w:val="24"/>
          <w:szCs w:val="24"/>
        </w:rPr>
      </w:pPr>
      <w:r w:rsidRPr="003666EA">
        <w:rPr>
          <w:rFonts w:ascii="仿宋_GB2312" w:eastAsia="仿宋_GB2312" w:hAnsi="仿宋" w:cs="宋体" w:hint="eastAsia"/>
          <w:kern w:val="0"/>
          <w:sz w:val="24"/>
          <w:szCs w:val="24"/>
        </w:rPr>
        <w:t>最后，对于通过</w:t>
      </w:r>
      <w:r>
        <w:rPr>
          <w:rFonts w:ascii="仿宋_GB2312" w:eastAsia="仿宋_GB2312" w:hAnsi="仿宋" w:cs="宋体" w:hint="eastAsia"/>
          <w:kern w:val="0"/>
          <w:sz w:val="24"/>
          <w:szCs w:val="24"/>
        </w:rPr>
        <w:t>“</w:t>
      </w:r>
      <w:r w:rsidRPr="003666EA">
        <w:rPr>
          <w:rFonts w:ascii="仿宋_GB2312" w:eastAsia="仿宋_GB2312" w:hAnsi="仿宋" w:cs="宋体" w:hint="eastAsia"/>
          <w:kern w:val="0"/>
          <w:sz w:val="24"/>
          <w:szCs w:val="24"/>
        </w:rPr>
        <w:t>6.6银行自身外债业务</w:t>
      </w:r>
      <w:r>
        <w:rPr>
          <w:rFonts w:ascii="仿宋_GB2312" w:eastAsia="仿宋_GB2312" w:hAnsi="仿宋" w:cs="宋体" w:hint="eastAsia"/>
          <w:kern w:val="0"/>
          <w:sz w:val="24"/>
          <w:szCs w:val="24"/>
        </w:rPr>
        <w:t>”</w:t>
      </w:r>
      <w:r w:rsidRPr="003666EA">
        <w:rPr>
          <w:rFonts w:ascii="仿宋_GB2312" w:eastAsia="仿宋_GB2312" w:hAnsi="仿宋" w:cs="宋体" w:hint="eastAsia"/>
          <w:kern w:val="0"/>
          <w:sz w:val="24"/>
          <w:szCs w:val="24"/>
        </w:rPr>
        <w:t>要求已采集的信息（如D08或F02表），应按月填写或更新Z02表中Z0201-Z0206等各项信息，但对应报表（D08或F02表）</w:t>
      </w:r>
      <w:r>
        <w:rPr>
          <w:rFonts w:ascii="仿宋_GB2312" w:eastAsia="仿宋_GB2312" w:hAnsi="仿宋" w:cs="宋体" w:hint="eastAsia"/>
          <w:kern w:val="0"/>
          <w:sz w:val="24"/>
          <w:szCs w:val="24"/>
        </w:rPr>
        <w:t>无需报送</w:t>
      </w:r>
      <w:r w:rsidRPr="003666EA">
        <w:rPr>
          <w:rFonts w:ascii="仿宋_GB2312" w:eastAsia="仿宋_GB2312" w:hAnsi="仿宋" w:hint="eastAsia"/>
          <w:sz w:val="24"/>
          <w:szCs w:val="24"/>
        </w:rPr>
        <w:t xml:space="preserve">。 </w:t>
      </w:r>
    </w:p>
    <w:p w:rsidR="0070361E" w:rsidRPr="005B6F91" w:rsidRDefault="0070361E" w:rsidP="005B6F91">
      <w:pPr>
        <w:spacing w:line="360" w:lineRule="auto"/>
        <w:rPr>
          <w:rFonts w:asciiTheme="minorEastAsia" w:hAnsiTheme="minorEastAsia" w:cs="宋体"/>
          <w:kern w:val="0"/>
          <w:sz w:val="24"/>
          <w:szCs w:val="24"/>
        </w:rPr>
      </w:pPr>
    </w:p>
    <w:p w:rsidR="00F64764" w:rsidRPr="003666EA" w:rsidRDefault="00F64764"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3D65AF">
        <w:rPr>
          <w:rFonts w:asciiTheme="minorEastAsia" w:hAnsiTheme="minorEastAsia" w:hint="eastAsia"/>
          <w:b/>
          <w:sz w:val="24"/>
          <w:szCs w:val="24"/>
        </w:rPr>
        <w:t>7</w:t>
      </w:r>
      <w:r w:rsidRPr="003666EA">
        <w:rPr>
          <w:rFonts w:asciiTheme="minorEastAsia" w:hAnsiTheme="minorEastAsia" w:hint="eastAsia"/>
          <w:b/>
          <w:sz w:val="24"/>
          <w:szCs w:val="24"/>
        </w:rPr>
        <w:t>：《对外金融资产负债及交易统计制度》</w:t>
      </w:r>
      <w:r w:rsidR="00EF074D" w:rsidRPr="003666EA">
        <w:rPr>
          <w:rFonts w:asciiTheme="minorEastAsia" w:hAnsiTheme="minorEastAsia" w:hint="eastAsia"/>
          <w:b/>
          <w:sz w:val="24"/>
          <w:szCs w:val="24"/>
        </w:rPr>
        <w:t>（汇发【2013】43号）</w:t>
      </w:r>
      <w:r w:rsidRPr="003666EA">
        <w:rPr>
          <w:rFonts w:asciiTheme="minorEastAsia" w:hAnsiTheme="minorEastAsia" w:hint="eastAsia"/>
          <w:b/>
          <w:sz w:val="24"/>
          <w:szCs w:val="24"/>
        </w:rPr>
        <w:t>与</w:t>
      </w:r>
      <w:r w:rsidRPr="003666EA">
        <w:rPr>
          <w:rFonts w:asciiTheme="minorEastAsia" w:hAnsiTheme="minorEastAsia" w:cs="宋体" w:hint="eastAsia"/>
          <w:b/>
          <w:kern w:val="0"/>
          <w:sz w:val="24"/>
          <w:szCs w:val="24"/>
        </w:rPr>
        <w:t>《金融机构外汇业务数据采集规范（1.0）版》</w:t>
      </w:r>
      <w:r w:rsidR="00EF074D" w:rsidRPr="003666EA">
        <w:rPr>
          <w:rFonts w:asciiTheme="minorEastAsia" w:hAnsiTheme="minorEastAsia" w:cs="宋体" w:hint="eastAsia"/>
          <w:b/>
          <w:kern w:val="0"/>
          <w:sz w:val="24"/>
          <w:szCs w:val="24"/>
        </w:rPr>
        <w:t>（汇发【2014】18号）</w:t>
      </w:r>
      <w:r w:rsidRPr="003666EA">
        <w:rPr>
          <w:rFonts w:asciiTheme="minorEastAsia" w:hAnsiTheme="minorEastAsia" w:hint="eastAsia"/>
          <w:b/>
          <w:sz w:val="24"/>
          <w:szCs w:val="24"/>
        </w:rPr>
        <w:t>6.9对外金融资产负债及交易信息部分为什么在报表要素上不一致？</w:t>
      </w:r>
    </w:p>
    <w:p w:rsidR="005B77D6" w:rsidRPr="003666EA" w:rsidRDefault="00F64764" w:rsidP="005B77D6">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5B77D6" w:rsidRPr="003666EA">
        <w:rPr>
          <w:rFonts w:ascii="仿宋_GB2312" w:eastAsia="仿宋_GB2312" w:hAnsi="仿宋" w:hint="eastAsia"/>
          <w:sz w:val="24"/>
          <w:szCs w:val="24"/>
        </w:rPr>
        <w:t>《对外金融资产负债及交易统计制度》（汇发[2013]43号）从统计制度层面完整覆盖了申报主体的对外金融资产负债及交易各项目。到数据采集阶段，由于以下三方面原因，《金融机构外汇业务数据采集规范（1.0）版》（汇发[2014]18号）对汇发[2013]43号文的报表要素和报表格式进行了调整：</w:t>
      </w:r>
    </w:p>
    <w:p w:rsidR="005B77D6" w:rsidRPr="003666EA" w:rsidRDefault="005B77D6" w:rsidP="005B77D6">
      <w:pPr>
        <w:spacing w:line="360" w:lineRule="auto"/>
        <w:rPr>
          <w:rFonts w:ascii="仿宋_GB2312" w:eastAsia="仿宋_GB2312" w:hAnsi="仿宋"/>
          <w:sz w:val="24"/>
          <w:szCs w:val="24"/>
        </w:rPr>
      </w:pPr>
      <w:r w:rsidRPr="003666EA">
        <w:rPr>
          <w:rFonts w:ascii="仿宋_GB2312" w:eastAsia="仿宋_GB2312" w:hAnsi="仿宋" w:hint="eastAsia"/>
          <w:sz w:val="24"/>
          <w:szCs w:val="24"/>
        </w:rPr>
        <w:t xml:space="preserve">    首先，部分报表进行了拆分。</w:t>
      </w:r>
      <w:r>
        <w:rPr>
          <w:rFonts w:ascii="仿宋_GB2312" w:eastAsia="仿宋_GB2312" w:hAnsi="仿宋" w:hint="eastAsia"/>
          <w:sz w:val="24"/>
          <w:szCs w:val="24"/>
        </w:rPr>
        <w:t>如，汇发[2013]43号文中的</w:t>
      </w:r>
      <w:r w:rsidRPr="003666EA">
        <w:rPr>
          <w:rFonts w:ascii="仿宋_GB2312" w:eastAsia="仿宋_GB2312" w:hAnsi="仿宋" w:hint="eastAsia"/>
          <w:sz w:val="24"/>
          <w:szCs w:val="24"/>
        </w:rPr>
        <w:t>Z</w:t>
      </w:r>
      <w:r>
        <w:rPr>
          <w:rFonts w:ascii="仿宋_GB2312" w:eastAsia="仿宋_GB2312" w:hAnsi="仿宋" w:hint="eastAsia"/>
          <w:sz w:val="24"/>
          <w:szCs w:val="24"/>
        </w:rPr>
        <w:t>01</w:t>
      </w:r>
      <w:r w:rsidRPr="003666EA">
        <w:rPr>
          <w:rFonts w:ascii="仿宋_GB2312" w:eastAsia="仿宋_GB2312" w:hAnsi="仿宋" w:hint="eastAsia"/>
          <w:sz w:val="24"/>
          <w:szCs w:val="24"/>
        </w:rPr>
        <w:t>表、A01表和A02表，</w:t>
      </w:r>
      <w:r>
        <w:rPr>
          <w:rFonts w:ascii="仿宋_GB2312" w:eastAsia="仿宋_GB2312" w:hAnsi="仿宋" w:hint="eastAsia"/>
          <w:sz w:val="24"/>
          <w:szCs w:val="24"/>
        </w:rPr>
        <w:t>在汇发[2014]18号文中</w:t>
      </w:r>
      <w:r w:rsidRPr="003666EA">
        <w:rPr>
          <w:rFonts w:ascii="仿宋_GB2312" w:eastAsia="仿宋_GB2312" w:hAnsi="仿宋" w:hint="eastAsia"/>
          <w:sz w:val="24"/>
          <w:szCs w:val="24"/>
        </w:rPr>
        <w:t>分别拆分成3张、2张和3张报表</w:t>
      </w:r>
      <w:r>
        <w:rPr>
          <w:rFonts w:ascii="仿宋_GB2312" w:eastAsia="仿宋_GB2312" w:hAnsi="仿宋" w:hint="eastAsia"/>
          <w:sz w:val="24"/>
          <w:szCs w:val="24"/>
        </w:rPr>
        <w:t>，以</w:t>
      </w:r>
      <w:r w:rsidRPr="003666EA">
        <w:rPr>
          <w:rFonts w:ascii="仿宋_GB2312" w:eastAsia="仿宋_GB2312" w:hAnsi="仿宋" w:hint="eastAsia"/>
          <w:sz w:val="24"/>
          <w:szCs w:val="24"/>
        </w:rPr>
        <w:t>方便数据报送与整理</w:t>
      </w:r>
      <w:r>
        <w:rPr>
          <w:rFonts w:ascii="仿宋_GB2312" w:eastAsia="仿宋_GB2312" w:hAnsi="仿宋" w:hint="eastAsia"/>
          <w:sz w:val="24"/>
          <w:szCs w:val="24"/>
        </w:rPr>
        <w:t>。</w:t>
      </w:r>
    </w:p>
    <w:p w:rsidR="005B77D6" w:rsidRPr="003666EA" w:rsidRDefault="005B77D6" w:rsidP="005B77D6">
      <w:pPr>
        <w:spacing w:line="360" w:lineRule="auto"/>
        <w:rPr>
          <w:rFonts w:ascii="仿宋_GB2312" w:eastAsia="仿宋_GB2312" w:hAnsi="仿宋"/>
          <w:sz w:val="24"/>
          <w:szCs w:val="24"/>
        </w:rPr>
      </w:pPr>
      <w:r w:rsidRPr="003666EA">
        <w:rPr>
          <w:rFonts w:ascii="仿宋_GB2312" w:eastAsia="仿宋_GB2312" w:hAnsi="仿宋" w:hint="eastAsia"/>
          <w:sz w:val="24"/>
          <w:szCs w:val="24"/>
        </w:rPr>
        <w:t xml:space="preserve">    其次，部分</w:t>
      </w:r>
      <w:r>
        <w:rPr>
          <w:rFonts w:ascii="仿宋_GB2312" w:eastAsia="仿宋_GB2312" w:hAnsi="仿宋" w:hint="eastAsia"/>
          <w:sz w:val="24"/>
          <w:szCs w:val="24"/>
        </w:rPr>
        <w:t>已</w:t>
      </w:r>
      <w:r w:rsidR="008F175C">
        <w:rPr>
          <w:rFonts w:ascii="仿宋_GB2312" w:eastAsia="仿宋_GB2312" w:hAnsi="仿宋" w:hint="eastAsia"/>
          <w:sz w:val="24"/>
          <w:szCs w:val="24"/>
        </w:rPr>
        <w:t>做登记的</w:t>
      </w:r>
      <w:r>
        <w:rPr>
          <w:rFonts w:ascii="仿宋_GB2312" w:eastAsia="仿宋_GB2312" w:hAnsi="仿宋" w:hint="eastAsia"/>
          <w:sz w:val="24"/>
          <w:szCs w:val="24"/>
        </w:rPr>
        <w:t>外债数据</w:t>
      </w:r>
      <w:r w:rsidRPr="003666EA">
        <w:rPr>
          <w:rFonts w:ascii="仿宋_GB2312" w:eastAsia="仿宋_GB2312" w:hAnsi="仿宋" w:hint="eastAsia"/>
          <w:sz w:val="24"/>
          <w:szCs w:val="24"/>
        </w:rPr>
        <w:t>不再要求</w:t>
      </w:r>
      <w:r>
        <w:rPr>
          <w:rFonts w:ascii="仿宋_GB2312" w:eastAsia="仿宋_GB2312" w:hAnsi="仿宋" w:hint="eastAsia"/>
          <w:sz w:val="24"/>
          <w:szCs w:val="24"/>
        </w:rPr>
        <w:t>重复</w:t>
      </w:r>
      <w:r w:rsidRPr="003666EA">
        <w:rPr>
          <w:rFonts w:ascii="仿宋_GB2312" w:eastAsia="仿宋_GB2312" w:hAnsi="仿宋" w:hint="eastAsia"/>
          <w:sz w:val="24"/>
          <w:szCs w:val="24"/>
        </w:rPr>
        <w:t>报送。</w:t>
      </w:r>
      <w:r>
        <w:rPr>
          <w:rFonts w:ascii="仿宋_GB2312" w:eastAsia="仿宋_GB2312" w:hAnsi="仿宋" w:hint="eastAsia"/>
          <w:sz w:val="24"/>
          <w:szCs w:val="24"/>
        </w:rPr>
        <w:t>即汇发[2014]18号文中的</w:t>
      </w:r>
      <w:r w:rsidRPr="003666EA">
        <w:rPr>
          <w:rFonts w:ascii="仿宋_GB2312" w:eastAsia="仿宋_GB2312" w:hAnsi="仿宋" w:hint="eastAsia"/>
          <w:sz w:val="24"/>
          <w:szCs w:val="24"/>
        </w:rPr>
        <w:t>D05-1、D06-1、F02、D08表，这四张表中绝大多数或全部数据要素来自各申报机构已报送的登记外债数据，因此不再要求报送或仅报送少量要素。</w:t>
      </w:r>
    </w:p>
    <w:p w:rsidR="005B77D6" w:rsidRDefault="005B77D6" w:rsidP="005737E4">
      <w:pPr>
        <w:spacing w:line="360" w:lineRule="auto"/>
        <w:ind w:firstLine="480"/>
        <w:rPr>
          <w:rFonts w:ascii="仿宋_GB2312" w:eastAsia="仿宋_GB2312" w:hAnsi="仿宋"/>
          <w:sz w:val="24"/>
          <w:szCs w:val="24"/>
        </w:rPr>
      </w:pPr>
      <w:r w:rsidRPr="003666EA">
        <w:rPr>
          <w:rFonts w:ascii="仿宋_GB2312" w:eastAsia="仿宋_GB2312" w:hAnsi="仿宋" w:hint="eastAsia"/>
          <w:sz w:val="24"/>
          <w:szCs w:val="24"/>
        </w:rPr>
        <w:t>最后，</w:t>
      </w:r>
      <w:r>
        <w:rPr>
          <w:rFonts w:ascii="仿宋_GB2312" w:eastAsia="仿宋_GB2312" w:hAnsi="仿宋" w:hint="eastAsia"/>
          <w:sz w:val="24"/>
          <w:szCs w:val="24"/>
        </w:rPr>
        <w:t>汇发[2014]18号文中</w:t>
      </w:r>
      <w:r w:rsidRPr="003666EA">
        <w:rPr>
          <w:rFonts w:ascii="仿宋_GB2312" w:eastAsia="仿宋_GB2312" w:hAnsi="仿宋" w:hint="eastAsia"/>
          <w:sz w:val="24"/>
          <w:szCs w:val="24"/>
        </w:rPr>
        <w:t>新增QFII、RQFII和QDII的</w:t>
      </w:r>
      <w:r>
        <w:rPr>
          <w:rFonts w:ascii="仿宋_GB2312" w:eastAsia="仿宋_GB2312" w:hAnsi="仿宋" w:hint="eastAsia"/>
          <w:sz w:val="24"/>
          <w:szCs w:val="24"/>
        </w:rPr>
        <w:t>部分存量数据要素，</w:t>
      </w:r>
      <w:r w:rsidRPr="003666EA">
        <w:rPr>
          <w:rFonts w:ascii="仿宋_GB2312" w:eastAsia="仿宋_GB2312" w:hAnsi="仿宋" w:hint="eastAsia"/>
          <w:sz w:val="24"/>
          <w:szCs w:val="24"/>
        </w:rPr>
        <w:t>主要涉及H01和H02表内容</w:t>
      </w:r>
      <w:r>
        <w:rPr>
          <w:rFonts w:ascii="仿宋_GB2312" w:eastAsia="仿宋_GB2312" w:hAnsi="仿宋" w:hint="eastAsia"/>
          <w:sz w:val="24"/>
          <w:szCs w:val="24"/>
        </w:rPr>
        <w:t>。同时，汇发[2014]18号文6.8节中有关合格境外机构投资者（QFII）、人民币合格境外机构投资者（RQFII）和合格境内机构投资者（QDII）的部分要素不再采集</w:t>
      </w:r>
      <w:r w:rsidRPr="003666EA">
        <w:rPr>
          <w:rFonts w:ascii="仿宋_GB2312" w:eastAsia="仿宋_GB2312" w:hAnsi="仿宋" w:hint="eastAsia"/>
          <w:sz w:val="24"/>
          <w:szCs w:val="24"/>
        </w:rPr>
        <w:t>。</w:t>
      </w:r>
    </w:p>
    <w:p w:rsidR="005737E4" w:rsidRPr="003666EA" w:rsidRDefault="005737E4" w:rsidP="005737E4">
      <w:pPr>
        <w:spacing w:line="360" w:lineRule="auto"/>
        <w:ind w:firstLine="480"/>
        <w:rPr>
          <w:rFonts w:ascii="仿宋_GB2312" w:eastAsia="仿宋_GB2312" w:hAnsi="仿宋"/>
          <w:sz w:val="24"/>
          <w:szCs w:val="24"/>
        </w:rPr>
      </w:pPr>
      <w:r>
        <w:rPr>
          <w:rFonts w:ascii="仿宋_GB2312" w:eastAsia="仿宋_GB2312" w:hAnsi="仿宋" w:hint="eastAsia"/>
          <w:sz w:val="24"/>
          <w:szCs w:val="24"/>
        </w:rPr>
        <w:t>由于以上原因，机构应以接口规范为准报送数据。</w:t>
      </w:r>
    </w:p>
    <w:p w:rsidR="005B77D6" w:rsidRDefault="005737E4" w:rsidP="005B77D6">
      <w:pPr>
        <w:spacing w:line="360" w:lineRule="auto"/>
        <w:ind w:firstLine="465"/>
        <w:rPr>
          <w:rFonts w:ascii="仿宋_GB2312" w:eastAsia="仿宋_GB2312" w:hAnsi="仿宋"/>
          <w:sz w:val="24"/>
          <w:szCs w:val="24"/>
        </w:rPr>
      </w:pPr>
      <w:r>
        <w:rPr>
          <w:rFonts w:ascii="仿宋_GB2312" w:eastAsia="仿宋_GB2312" w:hAnsi="仿宋" w:hint="eastAsia"/>
          <w:sz w:val="24"/>
          <w:szCs w:val="24"/>
        </w:rPr>
        <w:t>同时，</w:t>
      </w:r>
      <w:r w:rsidR="005B77D6" w:rsidRPr="003666EA">
        <w:rPr>
          <w:rFonts w:ascii="仿宋_GB2312" w:eastAsia="仿宋_GB2312" w:hAnsi="仿宋" w:hint="eastAsia"/>
          <w:sz w:val="24"/>
          <w:szCs w:val="24"/>
        </w:rPr>
        <w:t>需要</w:t>
      </w:r>
      <w:r w:rsidR="005B77D6">
        <w:rPr>
          <w:rFonts w:ascii="仿宋_GB2312" w:eastAsia="仿宋_GB2312" w:hAnsi="仿宋" w:hint="eastAsia"/>
          <w:sz w:val="24"/>
          <w:szCs w:val="24"/>
        </w:rPr>
        <w:t>说明</w:t>
      </w:r>
      <w:r w:rsidR="005B77D6" w:rsidRPr="003666EA">
        <w:rPr>
          <w:rFonts w:ascii="仿宋_GB2312" w:eastAsia="仿宋_GB2312" w:hAnsi="仿宋" w:hint="eastAsia"/>
          <w:sz w:val="24"/>
          <w:szCs w:val="24"/>
        </w:rPr>
        <w:t>：</w:t>
      </w:r>
    </w:p>
    <w:p w:rsidR="005B77D6" w:rsidRDefault="005B77D6" w:rsidP="005B77D6">
      <w:pPr>
        <w:spacing w:line="360" w:lineRule="auto"/>
        <w:ind w:firstLine="465"/>
        <w:rPr>
          <w:rFonts w:ascii="仿宋_GB2312" w:eastAsia="仿宋_GB2312" w:hAnsi="仿宋"/>
          <w:sz w:val="24"/>
          <w:szCs w:val="24"/>
        </w:rPr>
      </w:pPr>
      <w:r>
        <w:rPr>
          <w:rFonts w:ascii="仿宋_GB2312" w:eastAsia="仿宋_GB2312" w:hAnsi="仿宋" w:hint="eastAsia"/>
          <w:sz w:val="24"/>
          <w:szCs w:val="24"/>
        </w:rPr>
        <w:t>一是汇发[2013]43号文描述了各报表统计范围，汇发[2014]18号没有这部分信息。各机构应据此确定其涉外业务填报范围。</w:t>
      </w:r>
    </w:p>
    <w:p w:rsidR="005B77D6" w:rsidRDefault="005B77D6" w:rsidP="005B77D6">
      <w:pPr>
        <w:spacing w:line="360" w:lineRule="auto"/>
        <w:ind w:firstLine="465"/>
        <w:rPr>
          <w:rFonts w:ascii="仿宋_GB2312" w:eastAsia="仿宋_GB2312" w:hAnsi="仿宋"/>
          <w:sz w:val="24"/>
          <w:szCs w:val="24"/>
        </w:rPr>
      </w:pPr>
      <w:r>
        <w:rPr>
          <w:rFonts w:ascii="仿宋_GB2312" w:eastAsia="仿宋_GB2312" w:hAnsi="仿宋" w:hint="eastAsia"/>
          <w:sz w:val="24"/>
          <w:szCs w:val="24"/>
        </w:rPr>
        <w:t>二</w:t>
      </w:r>
      <w:r w:rsidRPr="003666EA">
        <w:rPr>
          <w:rFonts w:ascii="仿宋_GB2312" w:eastAsia="仿宋_GB2312" w:hAnsi="仿宋" w:hint="eastAsia"/>
          <w:sz w:val="24"/>
          <w:szCs w:val="24"/>
        </w:rPr>
        <w:t>是</w:t>
      </w:r>
      <w:r>
        <w:rPr>
          <w:rFonts w:ascii="仿宋_GB2312" w:eastAsia="仿宋_GB2312" w:hAnsi="仿宋" w:hint="eastAsia"/>
          <w:sz w:val="24"/>
          <w:szCs w:val="24"/>
        </w:rPr>
        <w:t>在按照汇发[2014]18号文报送数据时，</w:t>
      </w:r>
      <w:r w:rsidRPr="003666EA">
        <w:rPr>
          <w:rFonts w:ascii="仿宋_GB2312" w:eastAsia="仿宋_GB2312" w:hAnsi="仿宋" w:hint="eastAsia"/>
          <w:sz w:val="24"/>
          <w:szCs w:val="24"/>
        </w:rPr>
        <w:t>对于拆分的报表，务必保证填报机构代码、外债编号的准确性，以便于不同表数据的准确对接；</w:t>
      </w:r>
    </w:p>
    <w:p w:rsidR="00F64764" w:rsidRDefault="005B77D6" w:rsidP="005737E4">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三</w:t>
      </w:r>
      <w:r w:rsidRPr="003666EA">
        <w:rPr>
          <w:rFonts w:ascii="仿宋_GB2312" w:eastAsia="仿宋_GB2312" w:hAnsi="仿宋" w:hint="eastAsia"/>
          <w:sz w:val="24"/>
          <w:szCs w:val="24"/>
        </w:rPr>
        <w:t>是</w:t>
      </w:r>
      <w:r>
        <w:rPr>
          <w:rFonts w:ascii="仿宋_GB2312" w:eastAsia="仿宋_GB2312" w:hAnsi="仿宋" w:hint="eastAsia"/>
          <w:sz w:val="24"/>
          <w:szCs w:val="24"/>
        </w:rPr>
        <w:t>由于数据采集渠道的重新安排，申报主体应认真阅读和比较</w:t>
      </w:r>
      <w:r w:rsidRPr="003666EA">
        <w:rPr>
          <w:rFonts w:ascii="仿宋_GB2312" w:eastAsia="仿宋_GB2312" w:hAnsi="仿宋" w:hint="eastAsia"/>
          <w:sz w:val="24"/>
          <w:szCs w:val="24"/>
        </w:rPr>
        <w:t>汇发[2014]18号文“6.9对外金融资产负债及交易信息”和“6.6银行自身外债业务”、“6.8银行代客业务”的相应部分，以确保准确了解数据间关系</w:t>
      </w:r>
      <w:r>
        <w:rPr>
          <w:rFonts w:ascii="仿宋_GB2312" w:eastAsia="仿宋_GB2312" w:hAnsi="仿宋" w:hint="eastAsia"/>
          <w:sz w:val="24"/>
          <w:szCs w:val="24"/>
        </w:rPr>
        <w:t>，避免重复或遗漏报送相关</w:t>
      </w:r>
      <w:r w:rsidRPr="003666EA">
        <w:rPr>
          <w:rFonts w:ascii="仿宋_GB2312" w:eastAsia="仿宋_GB2312" w:hAnsi="仿宋" w:hint="eastAsia"/>
          <w:sz w:val="24"/>
          <w:szCs w:val="24"/>
        </w:rPr>
        <w:t>数据。</w:t>
      </w:r>
    </w:p>
    <w:p w:rsidR="005B77D6" w:rsidRPr="003666EA" w:rsidRDefault="005B77D6" w:rsidP="005B77D6">
      <w:pPr>
        <w:spacing w:line="360" w:lineRule="auto"/>
        <w:rPr>
          <w:rFonts w:ascii="仿宋" w:eastAsia="仿宋" w:hAnsi="仿宋"/>
          <w:sz w:val="24"/>
          <w:szCs w:val="24"/>
        </w:rPr>
      </w:pPr>
    </w:p>
    <w:p w:rsidR="00F64764" w:rsidRPr="003666EA" w:rsidRDefault="00F64764"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lastRenderedPageBreak/>
        <w:t>问题</w:t>
      </w:r>
      <w:r w:rsidR="003D65AF">
        <w:rPr>
          <w:rFonts w:asciiTheme="minorEastAsia" w:hAnsiTheme="minorEastAsia" w:hint="eastAsia"/>
          <w:b/>
          <w:sz w:val="24"/>
          <w:szCs w:val="24"/>
        </w:rPr>
        <w:t>8</w:t>
      </w:r>
      <w:r w:rsidRPr="003666EA">
        <w:rPr>
          <w:rFonts w:asciiTheme="minorEastAsia" w:hAnsiTheme="minorEastAsia" w:hint="eastAsia"/>
          <w:b/>
          <w:sz w:val="24"/>
          <w:szCs w:val="24"/>
        </w:rPr>
        <w:t>：</w:t>
      </w:r>
      <w:r w:rsidR="00D14E5E" w:rsidRPr="003666EA">
        <w:rPr>
          <w:rFonts w:asciiTheme="minorEastAsia" w:hAnsiTheme="minorEastAsia" w:hint="eastAsia"/>
          <w:b/>
          <w:sz w:val="24"/>
          <w:szCs w:val="24"/>
        </w:rPr>
        <w:t>对外金融资产负债及交易统计数据上报后，可以修改吗？</w:t>
      </w:r>
    </w:p>
    <w:p w:rsidR="00D14E5E" w:rsidRPr="003666EA" w:rsidRDefault="00A26F38"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C643A7" w:rsidRPr="003666EA">
        <w:rPr>
          <w:rFonts w:ascii="仿宋_GB2312" w:eastAsia="仿宋_GB2312" w:hAnsi="仿宋" w:hint="eastAsia"/>
          <w:sz w:val="24"/>
          <w:szCs w:val="24"/>
        </w:rPr>
        <w:t>申报主体可以随时修改</w:t>
      </w:r>
      <w:r w:rsidR="005D568B" w:rsidRPr="003666EA">
        <w:rPr>
          <w:rFonts w:ascii="仿宋_GB2312" w:eastAsia="仿宋_GB2312" w:hAnsi="仿宋" w:hint="eastAsia"/>
          <w:sz w:val="24"/>
          <w:szCs w:val="24"/>
        </w:rPr>
        <w:t>其已经上报</w:t>
      </w:r>
      <w:r w:rsidR="00C643A7" w:rsidRPr="003666EA">
        <w:rPr>
          <w:rFonts w:ascii="仿宋_GB2312" w:eastAsia="仿宋_GB2312" w:hAnsi="仿宋" w:hint="eastAsia"/>
          <w:sz w:val="24"/>
          <w:szCs w:val="24"/>
        </w:rPr>
        <w:t>数据</w:t>
      </w:r>
      <w:r w:rsidR="00307A32" w:rsidRPr="003666EA">
        <w:rPr>
          <w:rFonts w:ascii="仿宋_GB2312" w:eastAsia="仿宋_GB2312" w:hAnsi="仿宋" w:hint="eastAsia"/>
          <w:sz w:val="24"/>
          <w:szCs w:val="24"/>
        </w:rPr>
        <w:t>，</w:t>
      </w:r>
      <w:r w:rsidR="005D568B" w:rsidRPr="003666EA">
        <w:rPr>
          <w:rFonts w:ascii="仿宋_GB2312" w:eastAsia="仿宋_GB2312" w:hAnsi="仿宋" w:hint="eastAsia"/>
          <w:sz w:val="24"/>
          <w:szCs w:val="24"/>
        </w:rPr>
        <w:t>任何数据修正均应反映在业务发生的当期，而非</w:t>
      </w:r>
      <w:r w:rsidR="004A2F14" w:rsidRPr="003666EA">
        <w:rPr>
          <w:rFonts w:ascii="仿宋_GB2312" w:eastAsia="仿宋_GB2312" w:hAnsi="仿宋" w:hint="eastAsia"/>
          <w:sz w:val="24"/>
          <w:szCs w:val="24"/>
        </w:rPr>
        <w:t>发</w:t>
      </w:r>
      <w:r w:rsidR="004A2F14">
        <w:rPr>
          <w:rFonts w:ascii="仿宋_GB2312" w:eastAsia="仿宋_GB2312" w:hAnsi="仿宋" w:hint="eastAsia"/>
          <w:sz w:val="24"/>
          <w:szCs w:val="24"/>
        </w:rPr>
        <w:t>现</w:t>
      </w:r>
      <w:r w:rsidR="005D568B" w:rsidRPr="003666EA">
        <w:rPr>
          <w:rFonts w:ascii="仿宋_GB2312" w:eastAsia="仿宋_GB2312" w:hAnsi="仿宋" w:hint="eastAsia"/>
          <w:sz w:val="24"/>
          <w:szCs w:val="24"/>
        </w:rPr>
        <w:t>错误的期间。举例来说，如果2014年12月发现2014年9月数据有误，则应修改2014年9月数据，而</w:t>
      </w:r>
      <w:r w:rsidR="003F0808" w:rsidRPr="003666EA">
        <w:rPr>
          <w:rFonts w:ascii="仿宋_GB2312" w:eastAsia="仿宋_GB2312" w:hAnsi="仿宋" w:hint="eastAsia"/>
          <w:sz w:val="24"/>
          <w:szCs w:val="24"/>
        </w:rPr>
        <w:t>不</w:t>
      </w:r>
      <w:r w:rsidR="005D568B" w:rsidRPr="003666EA">
        <w:rPr>
          <w:rFonts w:ascii="仿宋_GB2312" w:eastAsia="仿宋_GB2312" w:hAnsi="仿宋" w:hint="eastAsia"/>
          <w:sz w:val="24"/>
          <w:szCs w:val="24"/>
        </w:rPr>
        <w:t>在</w:t>
      </w:r>
      <w:r w:rsidR="005B11E4">
        <w:rPr>
          <w:rFonts w:ascii="仿宋_GB2312" w:eastAsia="仿宋_GB2312" w:hAnsi="仿宋" w:hint="eastAsia"/>
          <w:sz w:val="24"/>
          <w:szCs w:val="24"/>
        </w:rPr>
        <w:t>报送</w:t>
      </w:r>
      <w:r w:rsidR="005D568B" w:rsidRPr="003666EA">
        <w:rPr>
          <w:rFonts w:ascii="仿宋_GB2312" w:eastAsia="仿宋_GB2312" w:hAnsi="仿宋" w:hint="eastAsia"/>
          <w:sz w:val="24"/>
          <w:szCs w:val="24"/>
        </w:rPr>
        <w:t>2014年12月</w:t>
      </w:r>
      <w:r w:rsidR="00E52E6B" w:rsidRPr="003666EA">
        <w:rPr>
          <w:rFonts w:ascii="仿宋_GB2312" w:eastAsia="仿宋_GB2312" w:hAnsi="仿宋" w:hint="eastAsia"/>
          <w:sz w:val="24"/>
          <w:szCs w:val="24"/>
        </w:rPr>
        <w:t>数据</w:t>
      </w:r>
      <w:r w:rsidR="005B11E4">
        <w:rPr>
          <w:rFonts w:ascii="仿宋_GB2312" w:eastAsia="仿宋_GB2312" w:hAnsi="仿宋" w:hint="eastAsia"/>
          <w:sz w:val="24"/>
          <w:szCs w:val="24"/>
        </w:rPr>
        <w:t>时反映</w:t>
      </w:r>
      <w:r w:rsidR="005D568B" w:rsidRPr="003666EA">
        <w:rPr>
          <w:rFonts w:ascii="仿宋_GB2312" w:eastAsia="仿宋_GB2312" w:hAnsi="仿宋" w:hint="eastAsia"/>
          <w:sz w:val="24"/>
          <w:szCs w:val="24"/>
        </w:rPr>
        <w:t>。</w:t>
      </w:r>
    </w:p>
    <w:p w:rsidR="00E52E6B" w:rsidRPr="003666EA" w:rsidRDefault="00E52E6B" w:rsidP="006629EB">
      <w:pPr>
        <w:spacing w:line="360" w:lineRule="auto"/>
        <w:rPr>
          <w:rFonts w:ascii="仿宋_GB2312" w:eastAsia="仿宋_GB2312" w:hAnsi="仿宋"/>
          <w:sz w:val="24"/>
          <w:szCs w:val="24"/>
        </w:rPr>
      </w:pPr>
      <w:r w:rsidRPr="003666EA">
        <w:rPr>
          <w:rFonts w:ascii="仿宋_GB2312" w:eastAsia="仿宋_GB2312" w:hAnsi="仿宋" w:hint="eastAsia"/>
          <w:sz w:val="24"/>
          <w:szCs w:val="24"/>
        </w:rPr>
        <w:t xml:space="preserve">    </w:t>
      </w:r>
      <w:r w:rsidR="009B70C4">
        <w:rPr>
          <w:rFonts w:ascii="仿宋_GB2312" w:eastAsia="仿宋_GB2312" w:hAnsi="仿宋" w:hint="eastAsia"/>
          <w:sz w:val="24"/>
          <w:szCs w:val="24"/>
        </w:rPr>
        <w:t>对于直接投资资产负债表数据（A01-1和A02-1表），如果</w:t>
      </w:r>
      <w:r w:rsidRPr="003666EA">
        <w:rPr>
          <w:rFonts w:ascii="仿宋_GB2312" w:eastAsia="仿宋_GB2312" w:hAnsi="仿宋" w:hint="eastAsia"/>
          <w:sz w:val="24"/>
          <w:szCs w:val="24"/>
        </w:rPr>
        <w:t>申报主体</w:t>
      </w:r>
      <w:r w:rsidR="009B70C4">
        <w:rPr>
          <w:rFonts w:ascii="仿宋_GB2312" w:eastAsia="仿宋_GB2312" w:hAnsi="仿宋" w:hint="eastAsia"/>
          <w:sz w:val="24"/>
          <w:szCs w:val="24"/>
        </w:rPr>
        <w:t>无法</w:t>
      </w:r>
      <w:r w:rsidRPr="003666EA">
        <w:rPr>
          <w:rFonts w:ascii="仿宋_GB2312" w:eastAsia="仿宋_GB2312" w:hAnsi="仿宋" w:hint="eastAsia"/>
          <w:sz w:val="24"/>
          <w:szCs w:val="24"/>
        </w:rPr>
        <w:t>在</w:t>
      </w:r>
      <w:r w:rsidR="003F0808" w:rsidRPr="003666EA">
        <w:rPr>
          <w:rFonts w:ascii="仿宋_GB2312" w:eastAsia="仿宋_GB2312" w:hAnsi="仿宋" w:hint="eastAsia"/>
          <w:sz w:val="24"/>
          <w:szCs w:val="24"/>
        </w:rPr>
        <w:t>每月</w:t>
      </w:r>
      <w:r w:rsidRPr="003666EA">
        <w:rPr>
          <w:rFonts w:ascii="仿宋_GB2312" w:eastAsia="仿宋_GB2312" w:hAnsi="仿宋" w:hint="eastAsia"/>
          <w:sz w:val="24"/>
          <w:szCs w:val="24"/>
        </w:rPr>
        <w:t>10日之前获得上月实际数据，那么申报主体可在获取实际数据后对原申报数据进行修正，并在备注内注明修正原因。该类修正不</w:t>
      </w:r>
      <w:r w:rsidR="009B70C4">
        <w:rPr>
          <w:rFonts w:ascii="仿宋_GB2312" w:eastAsia="仿宋_GB2312" w:hAnsi="仿宋" w:hint="eastAsia"/>
          <w:sz w:val="24"/>
          <w:szCs w:val="24"/>
        </w:rPr>
        <w:t>计为</w:t>
      </w:r>
      <w:r w:rsidRPr="003666EA">
        <w:rPr>
          <w:rFonts w:ascii="仿宋_GB2312" w:eastAsia="仿宋_GB2312" w:hAnsi="仿宋" w:hint="eastAsia"/>
          <w:sz w:val="24"/>
          <w:szCs w:val="24"/>
        </w:rPr>
        <w:t>数据错误，</w:t>
      </w:r>
      <w:r w:rsidR="001C6A1B">
        <w:rPr>
          <w:rFonts w:ascii="仿宋_GB2312" w:eastAsia="仿宋_GB2312" w:hAnsi="仿宋" w:hint="eastAsia"/>
          <w:sz w:val="24"/>
          <w:szCs w:val="24"/>
        </w:rPr>
        <w:t>且</w:t>
      </w:r>
      <w:r w:rsidR="005B11E4">
        <w:rPr>
          <w:rFonts w:ascii="仿宋_GB2312" w:eastAsia="仿宋_GB2312" w:hAnsi="仿宋" w:hint="eastAsia"/>
          <w:sz w:val="24"/>
          <w:szCs w:val="24"/>
        </w:rPr>
        <w:t>该</w:t>
      </w:r>
      <w:r w:rsidR="002334F3">
        <w:rPr>
          <w:rFonts w:ascii="仿宋_GB2312" w:eastAsia="仿宋_GB2312" w:hAnsi="仿宋" w:hint="eastAsia"/>
          <w:sz w:val="24"/>
          <w:szCs w:val="24"/>
        </w:rPr>
        <w:t>不计错</w:t>
      </w:r>
      <w:r w:rsidR="005B11E4">
        <w:rPr>
          <w:rFonts w:ascii="仿宋_GB2312" w:eastAsia="仿宋_GB2312" w:hAnsi="仿宋" w:hint="eastAsia"/>
          <w:sz w:val="24"/>
          <w:szCs w:val="24"/>
        </w:rPr>
        <w:t>原则仅</w:t>
      </w:r>
      <w:r w:rsidRPr="003666EA">
        <w:rPr>
          <w:rFonts w:ascii="仿宋_GB2312" w:eastAsia="仿宋_GB2312" w:hAnsi="仿宋" w:hint="eastAsia"/>
          <w:sz w:val="24"/>
          <w:szCs w:val="24"/>
        </w:rPr>
        <w:t>适用于</w:t>
      </w:r>
      <w:r w:rsidR="009B70C4">
        <w:rPr>
          <w:rFonts w:ascii="仿宋_GB2312" w:eastAsia="仿宋_GB2312" w:hAnsi="仿宋" w:hint="eastAsia"/>
          <w:sz w:val="24"/>
          <w:szCs w:val="24"/>
        </w:rPr>
        <w:t>A01-1和A02-1表</w:t>
      </w:r>
      <w:r w:rsidRPr="003666EA">
        <w:rPr>
          <w:rFonts w:ascii="仿宋_GB2312" w:eastAsia="仿宋_GB2312" w:hAnsi="仿宋" w:hint="eastAsia"/>
          <w:sz w:val="24"/>
          <w:szCs w:val="24"/>
        </w:rPr>
        <w:t>。</w:t>
      </w:r>
    </w:p>
    <w:p w:rsidR="009A0E0A" w:rsidRPr="003666EA" w:rsidRDefault="009A0E0A" w:rsidP="003666EA">
      <w:pPr>
        <w:spacing w:line="360" w:lineRule="auto"/>
        <w:ind w:firstLineChars="200" w:firstLine="482"/>
        <w:rPr>
          <w:rFonts w:asciiTheme="minorEastAsia" w:hAnsiTheme="minorEastAsia"/>
          <w:b/>
          <w:sz w:val="24"/>
          <w:szCs w:val="24"/>
        </w:rPr>
      </w:pPr>
    </w:p>
    <w:p w:rsidR="00D14E5E" w:rsidRPr="003666EA" w:rsidRDefault="009A0E0A"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3D65AF">
        <w:rPr>
          <w:rFonts w:asciiTheme="minorEastAsia" w:hAnsiTheme="minorEastAsia" w:hint="eastAsia"/>
          <w:b/>
          <w:sz w:val="24"/>
          <w:szCs w:val="24"/>
        </w:rPr>
        <w:t>9</w:t>
      </w:r>
      <w:r w:rsidRPr="003666EA">
        <w:rPr>
          <w:rFonts w:asciiTheme="minorEastAsia" w:hAnsiTheme="minorEastAsia" w:hint="eastAsia"/>
          <w:b/>
          <w:sz w:val="24"/>
          <w:szCs w:val="24"/>
        </w:rPr>
        <w:t>：《对外金融资产负债及交易统计制度》的Z</w:t>
      </w:r>
      <w:r w:rsidR="00D27690">
        <w:rPr>
          <w:rFonts w:asciiTheme="minorEastAsia" w:hAnsiTheme="minorEastAsia" w:hint="eastAsia"/>
          <w:b/>
          <w:sz w:val="24"/>
          <w:szCs w:val="24"/>
        </w:rPr>
        <w:t>01</w:t>
      </w:r>
      <w:r w:rsidRPr="003666EA">
        <w:rPr>
          <w:rFonts w:asciiTheme="minorEastAsia" w:hAnsiTheme="minorEastAsia" w:hint="eastAsia"/>
          <w:b/>
          <w:sz w:val="24"/>
          <w:szCs w:val="24"/>
        </w:rPr>
        <w:t>表以及</w:t>
      </w:r>
      <w:r w:rsidRPr="003666EA">
        <w:rPr>
          <w:rFonts w:asciiTheme="minorEastAsia" w:hAnsiTheme="minorEastAsia" w:cs="宋体" w:hint="eastAsia"/>
          <w:b/>
          <w:kern w:val="0"/>
          <w:sz w:val="24"/>
          <w:szCs w:val="24"/>
        </w:rPr>
        <w:t>《金融机构外汇业务数据采集规范（1.0）版》（汇发【2014】18号）的Z03表</w:t>
      </w:r>
      <w:r w:rsidRPr="003666EA">
        <w:rPr>
          <w:rFonts w:asciiTheme="minorEastAsia" w:hAnsiTheme="minorEastAsia" w:hint="eastAsia"/>
          <w:b/>
          <w:sz w:val="24"/>
          <w:szCs w:val="24"/>
        </w:rPr>
        <w:t>，需要详细填写持有本填报机构10%及以上表决权的投资者、持有该投资者10%及以上表决权的再上一级投资者，并一直向上追溯的各级投资者的全部名称吗？该指标与本</w:t>
      </w:r>
      <w:r w:rsidR="005D661F">
        <w:rPr>
          <w:rFonts w:asciiTheme="minorEastAsia" w:hAnsiTheme="minorEastAsia" w:hint="eastAsia"/>
          <w:b/>
          <w:sz w:val="24"/>
          <w:szCs w:val="24"/>
        </w:rPr>
        <w:t>机构</w:t>
      </w:r>
      <w:r w:rsidRPr="003666EA">
        <w:rPr>
          <w:rFonts w:asciiTheme="minorEastAsia" w:hAnsiTheme="minorEastAsia" w:hint="eastAsia"/>
          <w:b/>
          <w:sz w:val="24"/>
          <w:szCs w:val="24"/>
        </w:rPr>
        <w:t>关联方信息收集工作相关，考虑到实际操作难度，可否与本</w:t>
      </w:r>
      <w:r w:rsidR="005D661F">
        <w:rPr>
          <w:rFonts w:asciiTheme="minorEastAsia" w:hAnsiTheme="minorEastAsia" w:hint="eastAsia"/>
          <w:b/>
          <w:sz w:val="24"/>
          <w:szCs w:val="24"/>
        </w:rPr>
        <w:t>机构</w:t>
      </w:r>
      <w:r w:rsidRPr="003666EA">
        <w:rPr>
          <w:rFonts w:asciiTheme="minorEastAsia" w:hAnsiTheme="minorEastAsia" w:hint="eastAsia"/>
          <w:b/>
          <w:sz w:val="24"/>
          <w:szCs w:val="24"/>
        </w:rPr>
        <w:t>关联方信息收集工作一致，即向上追</w:t>
      </w:r>
      <w:r w:rsidR="00E300E0">
        <w:rPr>
          <w:rFonts w:asciiTheme="minorEastAsia" w:hAnsiTheme="minorEastAsia" w:hint="eastAsia"/>
          <w:b/>
          <w:sz w:val="24"/>
          <w:szCs w:val="24"/>
        </w:rPr>
        <w:t>溯两级？银行系统对目前自身股东或股权投资信息只向上或向下追溯</w:t>
      </w:r>
      <w:r w:rsidRPr="003666EA">
        <w:rPr>
          <w:rFonts w:asciiTheme="minorEastAsia" w:hAnsiTheme="minorEastAsia" w:hint="eastAsia"/>
          <w:b/>
          <w:sz w:val="24"/>
          <w:szCs w:val="24"/>
        </w:rPr>
        <w:t>到1-2级，对更深入层次的上级机构或下级机构的股权构成及变动情况难以及时掌握。</w:t>
      </w:r>
    </w:p>
    <w:p w:rsidR="009A0E0A" w:rsidRPr="003666EA" w:rsidRDefault="009A0E0A"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3F0808" w:rsidRPr="003666EA">
        <w:rPr>
          <w:rFonts w:ascii="仿宋_GB2312" w:eastAsia="仿宋_GB2312" w:hAnsi="仿宋" w:hint="eastAsia"/>
          <w:sz w:val="24"/>
          <w:szCs w:val="24"/>
        </w:rPr>
        <w:t>汇发[2013]43号</w:t>
      </w:r>
      <w:r w:rsidRPr="003666EA">
        <w:rPr>
          <w:rFonts w:ascii="仿宋_GB2312" w:eastAsia="仿宋_GB2312" w:hAnsi="仿宋" w:hint="eastAsia"/>
          <w:sz w:val="24"/>
          <w:szCs w:val="24"/>
        </w:rPr>
        <w:t>的Z</w:t>
      </w:r>
      <w:r w:rsidR="00D27690">
        <w:rPr>
          <w:rFonts w:ascii="仿宋_GB2312" w:eastAsia="仿宋_GB2312" w:hAnsi="仿宋" w:hint="eastAsia"/>
          <w:sz w:val="24"/>
          <w:szCs w:val="24"/>
        </w:rPr>
        <w:t>01</w:t>
      </w:r>
      <w:r w:rsidRPr="003666EA">
        <w:rPr>
          <w:rFonts w:ascii="仿宋_GB2312" w:eastAsia="仿宋_GB2312" w:hAnsi="仿宋" w:hint="eastAsia"/>
          <w:sz w:val="24"/>
          <w:szCs w:val="24"/>
        </w:rPr>
        <w:t>表（或</w:t>
      </w:r>
      <w:r w:rsidR="003F0808" w:rsidRPr="003666EA">
        <w:rPr>
          <w:rFonts w:ascii="仿宋_GB2312" w:eastAsia="仿宋_GB2312" w:hAnsi="仿宋" w:hint="eastAsia"/>
          <w:sz w:val="24"/>
          <w:szCs w:val="24"/>
        </w:rPr>
        <w:t>汇发[2014]18号文第6.9节下的</w:t>
      </w:r>
      <w:r w:rsidRPr="003666EA">
        <w:rPr>
          <w:rFonts w:ascii="仿宋_GB2312" w:eastAsia="仿宋_GB2312" w:hAnsi="仿宋" w:hint="eastAsia"/>
          <w:sz w:val="24"/>
          <w:szCs w:val="24"/>
        </w:rPr>
        <w:t>Z03表）</w:t>
      </w:r>
      <w:r w:rsidR="005B11E4">
        <w:rPr>
          <w:rFonts w:ascii="仿宋_GB2312" w:eastAsia="仿宋_GB2312" w:hAnsi="仿宋" w:hint="eastAsia"/>
          <w:sz w:val="24"/>
          <w:szCs w:val="24"/>
        </w:rPr>
        <w:t>原则上可</w:t>
      </w:r>
      <w:r w:rsidRPr="003666EA">
        <w:rPr>
          <w:rFonts w:ascii="仿宋_GB2312" w:eastAsia="仿宋_GB2312" w:hAnsi="仿宋" w:hint="eastAsia"/>
          <w:sz w:val="24"/>
          <w:szCs w:val="24"/>
        </w:rPr>
        <w:t>以做到向上或向下无限追溯直接持有下一级机构10%及以上表决权的各级机构信息。</w:t>
      </w:r>
    </w:p>
    <w:p w:rsidR="009A0E0A" w:rsidRPr="003666EA" w:rsidRDefault="009A0E0A" w:rsidP="003666EA">
      <w:pPr>
        <w:spacing w:line="360" w:lineRule="auto"/>
        <w:ind w:firstLineChars="200" w:firstLine="480"/>
        <w:rPr>
          <w:rFonts w:ascii="仿宋_GB2312" w:eastAsia="仿宋_GB2312" w:hAnsi="仿宋" w:cs="宋体"/>
          <w:kern w:val="0"/>
          <w:sz w:val="24"/>
          <w:szCs w:val="24"/>
        </w:rPr>
      </w:pPr>
      <w:r w:rsidRPr="003666EA">
        <w:rPr>
          <w:rFonts w:ascii="仿宋_GB2312" w:eastAsia="仿宋_GB2312" w:hAnsi="仿宋" w:hint="eastAsia"/>
          <w:sz w:val="24"/>
          <w:szCs w:val="24"/>
        </w:rPr>
        <w:t>举例来说，某企业集团内的组织机构框架是A→B→C→D→E→</w:t>
      </w:r>
      <w:r w:rsidRPr="003666EA">
        <w:rPr>
          <w:rFonts w:ascii="仿宋_GB2312" w:eastAsia="仿宋_GB2312" w:hAnsi="仿宋" w:cs="宋体" w:hint="eastAsia"/>
          <w:kern w:val="0"/>
          <w:sz w:val="24"/>
          <w:szCs w:val="24"/>
        </w:rPr>
        <w:t>F→G，每一级持有直接下一级</w:t>
      </w:r>
      <w:r w:rsidR="005B11E4">
        <w:rPr>
          <w:rFonts w:ascii="仿宋_GB2312" w:eastAsia="仿宋_GB2312" w:hAnsi="仿宋" w:cs="宋体" w:hint="eastAsia"/>
          <w:kern w:val="0"/>
          <w:sz w:val="24"/>
          <w:szCs w:val="24"/>
        </w:rPr>
        <w:t>机构</w:t>
      </w:r>
      <w:r w:rsidRPr="003666EA">
        <w:rPr>
          <w:rFonts w:ascii="仿宋_GB2312" w:eastAsia="仿宋_GB2312" w:hAnsi="仿宋" w:cs="宋体" w:hint="eastAsia"/>
          <w:kern w:val="0"/>
          <w:sz w:val="24"/>
          <w:szCs w:val="24"/>
        </w:rPr>
        <w:t>10%及以上表决权</w:t>
      </w:r>
      <w:r w:rsidR="005B11E4">
        <w:rPr>
          <w:rFonts w:ascii="仿宋_GB2312" w:eastAsia="仿宋_GB2312" w:hAnsi="仿宋" w:cs="宋体" w:hint="eastAsia"/>
          <w:kern w:val="0"/>
          <w:sz w:val="24"/>
          <w:szCs w:val="24"/>
        </w:rPr>
        <w:t>。</w:t>
      </w:r>
      <w:r w:rsidRPr="003666EA">
        <w:rPr>
          <w:rFonts w:ascii="仿宋_GB2312" w:eastAsia="仿宋_GB2312" w:hAnsi="仿宋" w:cs="宋体" w:hint="eastAsia"/>
          <w:kern w:val="0"/>
          <w:sz w:val="24"/>
          <w:szCs w:val="24"/>
        </w:rPr>
        <w:t>按照接口规范</w:t>
      </w:r>
      <w:r w:rsidR="00B35593">
        <w:rPr>
          <w:rFonts w:ascii="仿宋_GB2312" w:eastAsia="仿宋_GB2312" w:hAnsi="仿宋" w:cs="宋体" w:hint="eastAsia"/>
          <w:kern w:val="0"/>
          <w:sz w:val="24"/>
          <w:szCs w:val="24"/>
        </w:rPr>
        <w:t>（汇发[2014]18号）6.9节</w:t>
      </w:r>
      <w:r w:rsidRPr="003666EA">
        <w:rPr>
          <w:rFonts w:ascii="仿宋_GB2312" w:eastAsia="仿宋_GB2312" w:hAnsi="仿宋" w:cs="宋体" w:hint="eastAsia"/>
          <w:kern w:val="0"/>
          <w:sz w:val="24"/>
          <w:szCs w:val="24"/>
        </w:rPr>
        <w:t>Z03表的要求，</w:t>
      </w:r>
      <w:r w:rsidR="001F59D7" w:rsidRPr="003666EA">
        <w:rPr>
          <w:rFonts w:ascii="仿宋_GB2312" w:eastAsia="仿宋_GB2312" w:hAnsi="仿宋" w:cs="宋体" w:hint="eastAsia"/>
          <w:kern w:val="0"/>
          <w:sz w:val="24"/>
          <w:szCs w:val="24"/>
        </w:rPr>
        <w:t>可以报</w:t>
      </w:r>
      <w:r w:rsidRPr="003666EA">
        <w:rPr>
          <w:rFonts w:ascii="仿宋_GB2312" w:eastAsia="仿宋_GB2312" w:hAnsi="仿宋" w:cs="宋体" w:hint="eastAsia"/>
          <w:kern w:val="0"/>
          <w:sz w:val="24"/>
          <w:szCs w:val="24"/>
        </w:rPr>
        <w:t>送为6对</w:t>
      </w:r>
      <w:r w:rsidR="001F59D7" w:rsidRPr="003666EA">
        <w:rPr>
          <w:rFonts w:ascii="仿宋_GB2312" w:eastAsia="仿宋_GB2312" w:hAnsi="仿宋" w:cs="宋体" w:hint="eastAsia"/>
          <w:kern w:val="0"/>
          <w:sz w:val="24"/>
          <w:szCs w:val="24"/>
        </w:rPr>
        <w:t>（行）</w:t>
      </w:r>
      <w:r w:rsidRPr="003666EA">
        <w:rPr>
          <w:rFonts w:ascii="仿宋_GB2312" w:eastAsia="仿宋_GB2312" w:hAnsi="仿宋" w:cs="宋体" w:hint="eastAsia"/>
          <w:kern w:val="0"/>
          <w:sz w:val="24"/>
          <w:szCs w:val="24"/>
        </w:rPr>
        <w:t>数据：</w:t>
      </w:r>
      <w:r w:rsidRPr="003666EA">
        <w:rPr>
          <w:rFonts w:ascii="仿宋_GB2312" w:eastAsia="仿宋_GB2312" w:hAnsi="仿宋" w:hint="eastAsia"/>
          <w:sz w:val="24"/>
          <w:szCs w:val="24"/>
        </w:rPr>
        <w:t>A→B；B→C；C→D；D→E；E→</w:t>
      </w:r>
      <w:r w:rsidRPr="003666EA">
        <w:rPr>
          <w:rFonts w:ascii="仿宋_GB2312" w:eastAsia="仿宋_GB2312" w:hAnsi="仿宋" w:cs="宋体" w:hint="eastAsia"/>
          <w:kern w:val="0"/>
          <w:sz w:val="24"/>
          <w:szCs w:val="24"/>
        </w:rPr>
        <w:t>F；F→G。</w:t>
      </w:r>
    </w:p>
    <w:p w:rsidR="001F59D7" w:rsidRPr="003666EA" w:rsidRDefault="001F59D7" w:rsidP="003666EA">
      <w:pPr>
        <w:spacing w:line="360" w:lineRule="auto"/>
        <w:ind w:firstLineChars="200" w:firstLine="480"/>
        <w:rPr>
          <w:rFonts w:ascii="仿宋_GB2312" w:eastAsia="仿宋_GB2312" w:hAnsi="仿宋" w:cs="宋体"/>
          <w:kern w:val="0"/>
          <w:sz w:val="24"/>
          <w:szCs w:val="24"/>
        </w:rPr>
      </w:pPr>
      <w:r w:rsidRPr="003666EA">
        <w:rPr>
          <w:rFonts w:ascii="仿宋_GB2312" w:eastAsia="仿宋_GB2312" w:hAnsi="仿宋" w:cs="宋体" w:hint="eastAsia"/>
          <w:kern w:val="0"/>
          <w:sz w:val="24"/>
          <w:szCs w:val="24"/>
        </w:rPr>
        <w:t>上述组织框架</w:t>
      </w:r>
      <w:r w:rsidR="00A212B2">
        <w:rPr>
          <w:rFonts w:ascii="仿宋_GB2312" w:eastAsia="仿宋_GB2312" w:hAnsi="仿宋" w:cs="宋体" w:hint="eastAsia"/>
          <w:kern w:val="0"/>
          <w:sz w:val="24"/>
          <w:szCs w:val="24"/>
        </w:rPr>
        <w:t>（投资关系）</w:t>
      </w:r>
      <w:r w:rsidRPr="003666EA">
        <w:rPr>
          <w:rFonts w:ascii="仿宋_GB2312" w:eastAsia="仿宋_GB2312" w:hAnsi="仿宋" w:cs="宋体" w:hint="eastAsia"/>
          <w:kern w:val="0"/>
          <w:sz w:val="24"/>
          <w:szCs w:val="24"/>
        </w:rPr>
        <w:t>信息极其重要，</w:t>
      </w:r>
      <w:r w:rsidR="00B04F47" w:rsidRPr="003666EA">
        <w:rPr>
          <w:rFonts w:ascii="仿宋_GB2312" w:eastAsia="仿宋_GB2312" w:hAnsi="仿宋" w:cs="宋体" w:hint="eastAsia"/>
          <w:kern w:val="0"/>
          <w:sz w:val="24"/>
          <w:szCs w:val="24"/>
        </w:rPr>
        <w:t>是判断</w:t>
      </w:r>
      <w:r w:rsidRPr="003666EA">
        <w:rPr>
          <w:rFonts w:ascii="仿宋_GB2312" w:eastAsia="仿宋_GB2312" w:hAnsi="仿宋" w:cs="宋体" w:hint="eastAsia"/>
          <w:kern w:val="0"/>
          <w:sz w:val="24"/>
          <w:szCs w:val="24"/>
        </w:rPr>
        <w:t>从A到I各张报表本机构与交易对手关系的关键</w:t>
      </w:r>
      <w:r w:rsidR="005B11E4">
        <w:rPr>
          <w:rFonts w:ascii="仿宋_GB2312" w:eastAsia="仿宋_GB2312" w:hAnsi="仿宋" w:cs="宋体" w:hint="eastAsia"/>
          <w:kern w:val="0"/>
          <w:sz w:val="24"/>
          <w:szCs w:val="24"/>
        </w:rPr>
        <w:t>。</w:t>
      </w:r>
      <w:r w:rsidR="00E52DF5" w:rsidRPr="003666EA">
        <w:rPr>
          <w:rFonts w:ascii="仿宋_GB2312" w:eastAsia="仿宋_GB2312" w:hAnsi="仿宋" w:cs="宋体" w:hint="eastAsia"/>
          <w:kern w:val="0"/>
          <w:sz w:val="24"/>
          <w:szCs w:val="24"/>
        </w:rPr>
        <w:t>申报主体</w:t>
      </w:r>
      <w:r w:rsidR="005B11E4">
        <w:rPr>
          <w:rFonts w:ascii="仿宋_GB2312" w:eastAsia="仿宋_GB2312" w:hAnsi="仿宋" w:cs="宋体" w:hint="eastAsia"/>
          <w:kern w:val="0"/>
          <w:sz w:val="24"/>
          <w:szCs w:val="24"/>
        </w:rPr>
        <w:t>应</w:t>
      </w:r>
      <w:r w:rsidR="00E52DF5" w:rsidRPr="003666EA">
        <w:rPr>
          <w:rFonts w:ascii="仿宋_GB2312" w:eastAsia="仿宋_GB2312" w:hAnsi="仿宋" w:cs="宋体" w:hint="eastAsia"/>
          <w:kern w:val="0"/>
          <w:sz w:val="24"/>
          <w:szCs w:val="24"/>
        </w:rPr>
        <w:t>尽</w:t>
      </w:r>
      <w:r w:rsidR="005B11E4">
        <w:rPr>
          <w:rFonts w:ascii="仿宋_GB2312" w:eastAsia="仿宋_GB2312" w:hAnsi="仿宋" w:cs="宋体" w:hint="eastAsia"/>
          <w:kern w:val="0"/>
          <w:sz w:val="24"/>
          <w:szCs w:val="24"/>
        </w:rPr>
        <w:t>力</w:t>
      </w:r>
      <w:r w:rsidR="00E52DF5" w:rsidRPr="003666EA">
        <w:rPr>
          <w:rFonts w:ascii="仿宋_GB2312" w:eastAsia="仿宋_GB2312" w:hAnsi="仿宋" w:cs="宋体" w:hint="eastAsia"/>
          <w:kern w:val="0"/>
          <w:sz w:val="24"/>
          <w:szCs w:val="24"/>
        </w:rPr>
        <w:t>填写，确保所填写的投资者名称、代码和被投资机构名称、代码前后一致性，以</w:t>
      </w:r>
      <w:r w:rsidR="00A212B2">
        <w:rPr>
          <w:rFonts w:ascii="仿宋_GB2312" w:eastAsia="仿宋_GB2312" w:hAnsi="仿宋" w:cs="宋体" w:hint="eastAsia"/>
          <w:kern w:val="0"/>
          <w:sz w:val="24"/>
          <w:szCs w:val="24"/>
        </w:rPr>
        <w:t>便</w:t>
      </w:r>
      <w:r w:rsidR="00D27690">
        <w:rPr>
          <w:rFonts w:ascii="仿宋_GB2312" w:eastAsia="仿宋_GB2312" w:hAnsi="仿宋" w:cs="宋体" w:hint="eastAsia"/>
          <w:kern w:val="0"/>
          <w:sz w:val="24"/>
          <w:szCs w:val="24"/>
        </w:rPr>
        <w:t>系统</w:t>
      </w:r>
      <w:r w:rsidR="00E52DF5" w:rsidRPr="003666EA">
        <w:rPr>
          <w:rFonts w:ascii="仿宋_GB2312" w:eastAsia="仿宋_GB2312" w:hAnsi="仿宋" w:cs="宋体" w:hint="eastAsia"/>
          <w:kern w:val="0"/>
          <w:sz w:val="24"/>
          <w:szCs w:val="24"/>
        </w:rPr>
        <w:t>准确进行关联</w:t>
      </w:r>
      <w:r w:rsidRPr="003666EA">
        <w:rPr>
          <w:rFonts w:ascii="仿宋_GB2312" w:eastAsia="仿宋_GB2312" w:hAnsi="仿宋" w:cs="宋体" w:hint="eastAsia"/>
          <w:kern w:val="0"/>
          <w:sz w:val="24"/>
          <w:szCs w:val="24"/>
        </w:rPr>
        <w:t>。</w:t>
      </w:r>
    </w:p>
    <w:p w:rsidR="009A0E0A" w:rsidRPr="003666EA" w:rsidRDefault="009A0E0A" w:rsidP="006629EB">
      <w:pPr>
        <w:spacing w:line="360" w:lineRule="auto"/>
        <w:rPr>
          <w:rFonts w:asciiTheme="minorEastAsia" w:hAnsiTheme="minorEastAsia"/>
          <w:b/>
          <w:sz w:val="24"/>
          <w:szCs w:val="24"/>
        </w:rPr>
      </w:pPr>
    </w:p>
    <w:p w:rsidR="00400C37" w:rsidRPr="003666EA" w:rsidRDefault="00400C37"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3D65AF">
        <w:rPr>
          <w:rFonts w:asciiTheme="minorEastAsia" w:hAnsiTheme="minorEastAsia" w:hint="eastAsia"/>
          <w:b/>
          <w:sz w:val="24"/>
          <w:szCs w:val="24"/>
        </w:rPr>
        <w:t>10</w:t>
      </w:r>
      <w:r w:rsidRPr="003666EA">
        <w:rPr>
          <w:rFonts w:asciiTheme="minorEastAsia" w:hAnsiTheme="minorEastAsia" w:hint="eastAsia"/>
          <w:b/>
          <w:sz w:val="24"/>
          <w:szCs w:val="24"/>
        </w:rPr>
        <w:t>：《对外金融资产负债及交易统计制度》的Z01表，单位基本信息表中“向</w:t>
      </w:r>
      <w:r w:rsidRPr="003666EA">
        <w:rPr>
          <w:rFonts w:asciiTheme="minorEastAsia" w:hAnsiTheme="minorEastAsia" w:hint="eastAsia"/>
          <w:b/>
          <w:sz w:val="24"/>
          <w:szCs w:val="24"/>
        </w:rPr>
        <w:lastRenderedPageBreak/>
        <w:t>上N级投资者的基本信息”“上一（N）级投资者”为同一级多家投资者，多家投资者又有多家上一级投资者，是否按行平行填列信息？</w:t>
      </w:r>
    </w:p>
    <w:p w:rsidR="00400C37" w:rsidRPr="003666EA" w:rsidRDefault="00400C37"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请按照一对“投资者-被投资机构”报一条信息的原则报送相关信息。</w:t>
      </w:r>
    </w:p>
    <w:p w:rsidR="00400C37" w:rsidRPr="003666EA" w:rsidRDefault="00400C37"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如果境内A机构同时持有境外B、C和D机构</w:t>
      </w:r>
      <w:r w:rsidR="00B112B2">
        <w:rPr>
          <w:rFonts w:ascii="仿宋_GB2312" w:eastAsia="仿宋_GB2312" w:hAnsi="仿宋" w:hint="eastAsia"/>
          <w:sz w:val="24"/>
          <w:szCs w:val="24"/>
        </w:rPr>
        <w:t>10%及以上表决权</w:t>
      </w:r>
      <w:r w:rsidRPr="003666EA">
        <w:rPr>
          <w:rFonts w:ascii="仿宋_GB2312" w:eastAsia="仿宋_GB2312" w:hAnsi="仿宋" w:hint="eastAsia"/>
          <w:sz w:val="24"/>
          <w:szCs w:val="24"/>
        </w:rPr>
        <w:t>，则填写3对数据：A→B；A→C；A→D。</w:t>
      </w:r>
    </w:p>
    <w:p w:rsidR="00400C37" w:rsidRPr="003666EA" w:rsidRDefault="00400C37"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如果是</w:t>
      </w:r>
      <w:r w:rsidR="00B112B2" w:rsidRPr="003666EA">
        <w:rPr>
          <w:rFonts w:ascii="仿宋_GB2312" w:eastAsia="仿宋_GB2312" w:hAnsi="仿宋" w:hint="eastAsia"/>
          <w:sz w:val="24"/>
          <w:szCs w:val="24"/>
        </w:rPr>
        <w:t>境外E、F和G机构</w:t>
      </w:r>
      <w:r w:rsidR="00B112B2">
        <w:rPr>
          <w:rFonts w:ascii="仿宋_GB2312" w:eastAsia="仿宋_GB2312" w:hAnsi="仿宋" w:hint="eastAsia"/>
          <w:sz w:val="24"/>
          <w:szCs w:val="24"/>
        </w:rPr>
        <w:t>分别持有</w:t>
      </w:r>
      <w:r w:rsidRPr="003666EA">
        <w:rPr>
          <w:rFonts w:ascii="仿宋_GB2312" w:eastAsia="仿宋_GB2312" w:hAnsi="仿宋" w:hint="eastAsia"/>
          <w:sz w:val="24"/>
          <w:szCs w:val="24"/>
        </w:rPr>
        <w:t>境内A</w:t>
      </w:r>
      <w:r w:rsidR="00B112B2">
        <w:rPr>
          <w:rFonts w:ascii="仿宋_GB2312" w:eastAsia="仿宋_GB2312" w:hAnsi="仿宋" w:hint="eastAsia"/>
          <w:sz w:val="24"/>
          <w:szCs w:val="24"/>
        </w:rPr>
        <w:t>机构10%及以上表决权</w:t>
      </w:r>
      <w:r w:rsidRPr="003666EA">
        <w:rPr>
          <w:rFonts w:ascii="仿宋_GB2312" w:eastAsia="仿宋_GB2312" w:hAnsi="仿宋" w:hint="eastAsia"/>
          <w:sz w:val="24"/>
          <w:szCs w:val="24"/>
        </w:rPr>
        <w:t>，则填写3对数据：E→A；F→A；G→A。</w:t>
      </w:r>
    </w:p>
    <w:p w:rsidR="00103C44" w:rsidRPr="003666EA" w:rsidRDefault="00103C44" w:rsidP="006629EB">
      <w:pPr>
        <w:spacing w:line="360" w:lineRule="auto"/>
        <w:rPr>
          <w:rFonts w:ascii="仿宋_GB2312" w:eastAsia="仿宋_GB2312" w:hAnsiTheme="minorEastAsia"/>
          <w:b/>
          <w:sz w:val="24"/>
          <w:szCs w:val="24"/>
        </w:rPr>
      </w:pPr>
    </w:p>
    <w:p w:rsidR="00871584" w:rsidRPr="003666EA" w:rsidRDefault="00871584"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1093E">
        <w:rPr>
          <w:rFonts w:asciiTheme="minorEastAsia" w:hAnsiTheme="minorEastAsia" w:hint="eastAsia"/>
          <w:b/>
          <w:sz w:val="24"/>
          <w:szCs w:val="24"/>
        </w:rPr>
        <w:t>1</w:t>
      </w:r>
      <w:r w:rsidR="003D65AF">
        <w:rPr>
          <w:rFonts w:asciiTheme="minorEastAsia" w:hAnsiTheme="minorEastAsia" w:hint="eastAsia"/>
          <w:b/>
          <w:sz w:val="24"/>
          <w:szCs w:val="24"/>
        </w:rPr>
        <w:t>1</w:t>
      </w:r>
      <w:r w:rsidRPr="003666EA">
        <w:rPr>
          <w:rFonts w:asciiTheme="minorEastAsia" w:hAnsiTheme="minorEastAsia" w:hint="eastAsia"/>
          <w:b/>
          <w:sz w:val="24"/>
          <w:szCs w:val="24"/>
        </w:rPr>
        <w:t>：</w:t>
      </w:r>
      <w:r w:rsidR="007273A8" w:rsidRPr="003666EA">
        <w:rPr>
          <w:rFonts w:asciiTheme="minorEastAsia" w:hAnsiTheme="minorEastAsia" w:hint="eastAsia"/>
          <w:b/>
          <w:sz w:val="24"/>
          <w:szCs w:val="24"/>
        </w:rPr>
        <w:t>Z03</w:t>
      </w:r>
      <w:r w:rsidRPr="003666EA">
        <w:rPr>
          <w:rFonts w:asciiTheme="minorEastAsia" w:hAnsiTheme="minorEastAsia" w:hint="eastAsia"/>
          <w:b/>
          <w:sz w:val="24"/>
          <w:szCs w:val="24"/>
        </w:rPr>
        <w:t>表中需要填列“投资者的基本信息”，</w:t>
      </w:r>
      <w:r w:rsidR="007273A8" w:rsidRPr="003666EA">
        <w:rPr>
          <w:rFonts w:asciiTheme="minorEastAsia" w:hAnsiTheme="minorEastAsia" w:hint="eastAsia"/>
          <w:b/>
          <w:sz w:val="24"/>
          <w:szCs w:val="24"/>
        </w:rPr>
        <w:t>是否应将居民</w:t>
      </w:r>
      <w:r w:rsidRPr="003666EA">
        <w:rPr>
          <w:rFonts w:asciiTheme="minorEastAsia" w:hAnsiTheme="minorEastAsia" w:hint="eastAsia"/>
          <w:b/>
          <w:sz w:val="24"/>
          <w:szCs w:val="24"/>
        </w:rPr>
        <w:t>投资者</w:t>
      </w:r>
      <w:r w:rsidR="007273A8" w:rsidRPr="003666EA">
        <w:rPr>
          <w:rFonts w:asciiTheme="minorEastAsia" w:hAnsiTheme="minorEastAsia" w:hint="eastAsia"/>
          <w:b/>
          <w:sz w:val="24"/>
          <w:szCs w:val="24"/>
        </w:rPr>
        <w:t>纳入填报</w:t>
      </w:r>
      <w:r w:rsidRPr="003666EA">
        <w:rPr>
          <w:rFonts w:asciiTheme="minorEastAsia" w:hAnsiTheme="minorEastAsia" w:hint="eastAsia"/>
          <w:b/>
          <w:sz w:val="24"/>
          <w:szCs w:val="24"/>
        </w:rPr>
        <w:t>？</w:t>
      </w:r>
    </w:p>
    <w:p w:rsidR="00953DA2" w:rsidRPr="003666EA" w:rsidRDefault="00871584"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是</w:t>
      </w:r>
      <w:r w:rsidR="00B112B2">
        <w:rPr>
          <w:rFonts w:ascii="仿宋_GB2312" w:eastAsia="仿宋_GB2312" w:hAnsi="仿宋" w:hint="eastAsia"/>
          <w:sz w:val="24"/>
          <w:szCs w:val="24"/>
        </w:rPr>
        <w:t>，这在</w:t>
      </w:r>
      <w:r w:rsidR="00953DA2">
        <w:rPr>
          <w:rFonts w:ascii="仿宋_GB2312" w:eastAsia="仿宋_GB2312" w:hAnsi="仿宋" w:hint="eastAsia"/>
          <w:sz w:val="24"/>
          <w:szCs w:val="24"/>
        </w:rPr>
        <w:t>汇发[2013]43号</w:t>
      </w:r>
      <w:r w:rsidR="00B112B2">
        <w:rPr>
          <w:rFonts w:ascii="仿宋_GB2312" w:eastAsia="仿宋_GB2312" w:hAnsi="仿宋" w:hint="eastAsia"/>
          <w:sz w:val="24"/>
          <w:szCs w:val="24"/>
        </w:rPr>
        <w:t>Z01表的统计范围已明确。因此，</w:t>
      </w:r>
      <w:r w:rsidRPr="003666EA">
        <w:rPr>
          <w:rFonts w:ascii="仿宋_GB2312" w:eastAsia="仿宋_GB2312" w:hAnsi="仿宋" w:hint="eastAsia"/>
          <w:sz w:val="24"/>
          <w:szCs w:val="24"/>
        </w:rPr>
        <w:t>无论投资者或被投资机构是居民还是非居民，</w:t>
      </w:r>
      <w:r w:rsidR="00953DA2">
        <w:rPr>
          <w:rFonts w:ascii="仿宋_GB2312" w:eastAsia="仿宋_GB2312" w:hAnsi="仿宋" w:hint="eastAsia"/>
          <w:sz w:val="24"/>
          <w:szCs w:val="24"/>
        </w:rPr>
        <w:t>均</w:t>
      </w:r>
      <w:r w:rsidRPr="003666EA">
        <w:rPr>
          <w:rFonts w:ascii="仿宋_GB2312" w:eastAsia="仿宋_GB2312" w:hAnsi="仿宋" w:hint="eastAsia"/>
          <w:sz w:val="24"/>
          <w:szCs w:val="24"/>
        </w:rPr>
        <w:t>应纳入</w:t>
      </w:r>
      <w:r w:rsidR="00B112B2">
        <w:rPr>
          <w:rFonts w:ascii="仿宋_GB2312" w:eastAsia="仿宋_GB2312" w:hAnsi="仿宋" w:hint="eastAsia"/>
          <w:sz w:val="24"/>
          <w:szCs w:val="24"/>
        </w:rPr>
        <w:t>汇发[2014]18号6.9节</w:t>
      </w:r>
      <w:r w:rsidRPr="003666EA">
        <w:rPr>
          <w:rFonts w:ascii="仿宋_GB2312" w:eastAsia="仿宋_GB2312" w:hAnsi="仿宋" w:hint="eastAsia"/>
          <w:sz w:val="24"/>
          <w:szCs w:val="24"/>
        </w:rPr>
        <w:t>Z0</w:t>
      </w:r>
      <w:r w:rsidR="007273A8" w:rsidRPr="003666EA">
        <w:rPr>
          <w:rFonts w:ascii="仿宋_GB2312" w:eastAsia="仿宋_GB2312" w:hAnsi="仿宋" w:hint="eastAsia"/>
          <w:sz w:val="24"/>
          <w:szCs w:val="24"/>
        </w:rPr>
        <w:t>3</w:t>
      </w:r>
      <w:r w:rsidRPr="003666EA">
        <w:rPr>
          <w:rFonts w:ascii="仿宋_GB2312" w:eastAsia="仿宋_GB2312" w:hAnsi="仿宋" w:hint="eastAsia"/>
          <w:sz w:val="24"/>
          <w:szCs w:val="24"/>
        </w:rPr>
        <w:t>表统计。</w:t>
      </w:r>
      <w:r w:rsidR="00B112B2">
        <w:rPr>
          <w:rFonts w:ascii="仿宋_GB2312" w:eastAsia="仿宋_GB2312" w:hAnsi="仿宋" w:hint="eastAsia"/>
          <w:sz w:val="24"/>
          <w:szCs w:val="24"/>
        </w:rPr>
        <w:t>唯一的例外是，</w:t>
      </w:r>
      <w:r w:rsidR="00F37FE2">
        <w:rPr>
          <w:rFonts w:ascii="仿宋_GB2312" w:eastAsia="仿宋_GB2312" w:hAnsi="仿宋" w:hint="eastAsia"/>
          <w:sz w:val="24"/>
          <w:szCs w:val="24"/>
        </w:rPr>
        <w:t>中国境内法人机构</w:t>
      </w:r>
      <w:r w:rsidR="005D661F">
        <w:rPr>
          <w:rFonts w:ascii="仿宋_GB2312" w:eastAsia="仿宋_GB2312" w:hAnsi="仿宋" w:hint="eastAsia"/>
          <w:sz w:val="24"/>
          <w:szCs w:val="24"/>
        </w:rPr>
        <w:t>（含境外机构在中国境内的法人机构）</w:t>
      </w:r>
      <w:r w:rsidR="00F37FE2">
        <w:rPr>
          <w:rFonts w:ascii="仿宋_GB2312" w:eastAsia="仿宋_GB2312" w:hAnsi="仿宋" w:hint="eastAsia"/>
          <w:sz w:val="24"/>
          <w:szCs w:val="24"/>
        </w:rPr>
        <w:t>可以不报送其在</w:t>
      </w:r>
      <w:r w:rsidR="00F733E4">
        <w:rPr>
          <w:rFonts w:ascii="仿宋_GB2312" w:eastAsia="仿宋_GB2312" w:hAnsi="仿宋" w:hint="eastAsia"/>
          <w:sz w:val="24"/>
          <w:szCs w:val="24"/>
        </w:rPr>
        <w:t>中国</w:t>
      </w:r>
      <w:r w:rsidR="00953DA2">
        <w:rPr>
          <w:rFonts w:ascii="仿宋_GB2312" w:eastAsia="仿宋_GB2312" w:hAnsi="仿宋" w:hint="eastAsia"/>
          <w:sz w:val="24"/>
          <w:szCs w:val="24"/>
        </w:rPr>
        <w:t>境内的分支机构</w:t>
      </w:r>
      <w:r w:rsidR="0057282A">
        <w:rPr>
          <w:rFonts w:ascii="仿宋_GB2312" w:eastAsia="仿宋_GB2312" w:hAnsi="仿宋" w:hint="eastAsia"/>
          <w:sz w:val="24"/>
          <w:szCs w:val="24"/>
        </w:rPr>
        <w:t>信息</w:t>
      </w:r>
      <w:r w:rsidR="00B112B2">
        <w:rPr>
          <w:rFonts w:ascii="仿宋_GB2312" w:eastAsia="仿宋_GB2312" w:hAnsi="仿宋" w:hint="eastAsia"/>
          <w:sz w:val="24"/>
          <w:szCs w:val="24"/>
        </w:rPr>
        <w:t>，这主要是为了</w:t>
      </w:r>
      <w:r w:rsidR="005D661F">
        <w:rPr>
          <w:rFonts w:ascii="仿宋_GB2312" w:eastAsia="仿宋_GB2312" w:hAnsi="仿宋" w:hint="eastAsia"/>
          <w:sz w:val="24"/>
          <w:szCs w:val="24"/>
        </w:rPr>
        <w:t>控制</w:t>
      </w:r>
      <w:r w:rsidR="00B112B2">
        <w:rPr>
          <w:rFonts w:ascii="仿宋_GB2312" w:eastAsia="仿宋_GB2312" w:hAnsi="仿宋" w:hint="eastAsia"/>
          <w:sz w:val="24"/>
          <w:szCs w:val="24"/>
        </w:rPr>
        <w:t>申报主体数据报送负担</w:t>
      </w:r>
      <w:r w:rsidR="00953DA2">
        <w:rPr>
          <w:rFonts w:ascii="仿宋_GB2312" w:eastAsia="仿宋_GB2312" w:hAnsi="仿宋" w:hint="eastAsia"/>
          <w:sz w:val="24"/>
          <w:szCs w:val="24"/>
        </w:rPr>
        <w:t>。</w:t>
      </w:r>
    </w:p>
    <w:p w:rsidR="00871584" w:rsidRPr="003666EA" w:rsidRDefault="00871584" w:rsidP="006629EB">
      <w:pPr>
        <w:spacing w:line="360" w:lineRule="auto"/>
        <w:rPr>
          <w:rFonts w:asciiTheme="minorEastAsia" w:hAnsiTheme="minorEastAsia"/>
          <w:b/>
          <w:sz w:val="24"/>
          <w:szCs w:val="24"/>
        </w:rPr>
      </w:pPr>
    </w:p>
    <w:p w:rsidR="00C724F5" w:rsidRPr="003666EA" w:rsidRDefault="00C724F5"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FA6D65" w:rsidRPr="003666EA">
        <w:rPr>
          <w:rFonts w:asciiTheme="minorEastAsia" w:hAnsiTheme="minorEastAsia" w:hint="eastAsia"/>
          <w:b/>
          <w:sz w:val="24"/>
          <w:szCs w:val="24"/>
        </w:rPr>
        <w:t>1</w:t>
      </w:r>
      <w:r w:rsidR="003D65AF">
        <w:rPr>
          <w:rFonts w:asciiTheme="minorEastAsia" w:hAnsiTheme="minorEastAsia" w:hint="eastAsia"/>
          <w:b/>
          <w:sz w:val="24"/>
          <w:szCs w:val="24"/>
        </w:rPr>
        <w:t>2</w:t>
      </w:r>
      <w:r w:rsidRPr="003666EA">
        <w:rPr>
          <w:rFonts w:asciiTheme="minorEastAsia" w:hAnsiTheme="minorEastAsia" w:hint="eastAsia"/>
          <w:b/>
          <w:sz w:val="24"/>
          <w:szCs w:val="24"/>
        </w:rPr>
        <w:t>：Z</w:t>
      </w:r>
      <w:r w:rsidR="006C144F">
        <w:rPr>
          <w:rFonts w:asciiTheme="minorEastAsia" w:hAnsiTheme="minorEastAsia" w:hint="eastAsia"/>
          <w:b/>
          <w:sz w:val="24"/>
          <w:szCs w:val="24"/>
        </w:rPr>
        <w:t>03</w:t>
      </w:r>
      <w:r w:rsidRPr="003666EA">
        <w:rPr>
          <w:rFonts w:asciiTheme="minorEastAsia" w:hAnsiTheme="minorEastAsia" w:hint="eastAsia"/>
          <w:b/>
          <w:sz w:val="24"/>
          <w:szCs w:val="24"/>
        </w:rPr>
        <w:t>表中，如上一级投资者为外商投资企业，是否需要填报？</w:t>
      </w:r>
    </w:p>
    <w:p w:rsidR="00C724F5" w:rsidRPr="003666EA" w:rsidRDefault="00C724F5"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是，无论上一级投资者所属类型</w:t>
      </w:r>
      <w:r w:rsidR="00FB6D1B" w:rsidRPr="003666EA">
        <w:rPr>
          <w:rFonts w:ascii="仿宋_GB2312" w:eastAsia="仿宋_GB2312" w:hAnsi="仿宋" w:hint="eastAsia"/>
          <w:sz w:val="24"/>
          <w:szCs w:val="24"/>
        </w:rPr>
        <w:t>、所属国家（地区）</w:t>
      </w:r>
      <w:r w:rsidRPr="003666EA">
        <w:rPr>
          <w:rFonts w:ascii="仿宋_GB2312" w:eastAsia="仿宋_GB2312" w:hAnsi="仿宋" w:hint="eastAsia"/>
          <w:sz w:val="24"/>
          <w:szCs w:val="24"/>
        </w:rPr>
        <w:t>，均应纳入Z</w:t>
      </w:r>
      <w:r w:rsidR="007273A8" w:rsidRPr="003666EA">
        <w:rPr>
          <w:rFonts w:ascii="仿宋_GB2312" w:eastAsia="仿宋_GB2312" w:hAnsi="仿宋" w:hint="eastAsia"/>
          <w:sz w:val="24"/>
          <w:szCs w:val="24"/>
        </w:rPr>
        <w:t>03</w:t>
      </w:r>
      <w:r w:rsidRPr="003666EA">
        <w:rPr>
          <w:rFonts w:ascii="仿宋_GB2312" w:eastAsia="仿宋_GB2312" w:hAnsi="仿宋" w:hint="eastAsia"/>
          <w:sz w:val="24"/>
          <w:szCs w:val="24"/>
        </w:rPr>
        <w:t>表统计。</w:t>
      </w:r>
    </w:p>
    <w:p w:rsidR="00C724F5" w:rsidRPr="003666EA" w:rsidRDefault="00C724F5" w:rsidP="00367FB8">
      <w:pPr>
        <w:spacing w:line="360" w:lineRule="auto"/>
        <w:ind w:firstLineChars="200" w:firstLine="482"/>
        <w:rPr>
          <w:rFonts w:ascii="仿宋" w:eastAsia="仿宋" w:hAnsi="仿宋"/>
          <w:b/>
          <w:sz w:val="24"/>
          <w:szCs w:val="24"/>
        </w:rPr>
      </w:pPr>
    </w:p>
    <w:p w:rsidR="00C67AAB" w:rsidRPr="003666EA" w:rsidRDefault="00C67AAB"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问题1</w:t>
      </w:r>
      <w:r w:rsidR="003D65AF">
        <w:rPr>
          <w:rFonts w:asciiTheme="minorEastAsia" w:hAnsiTheme="minorEastAsia" w:hint="eastAsia"/>
          <w:b/>
          <w:sz w:val="24"/>
          <w:szCs w:val="24"/>
        </w:rPr>
        <w:t>3</w:t>
      </w:r>
      <w:r w:rsidRPr="003666EA">
        <w:rPr>
          <w:rFonts w:asciiTheme="minorEastAsia" w:hAnsiTheme="minorEastAsia" w:hint="eastAsia"/>
          <w:b/>
          <w:sz w:val="24"/>
          <w:szCs w:val="24"/>
        </w:rPr>
        <w:t>：</w:t>
      </w:r>
      <w:r w:rsidR="00950A70" w:rsidRPr="003666EA">
        <w:rPr>
          <w:rFonts w:asciiTheme="minorEastAsia" w:hAnsiTheme="minorEastAsia" w:hint="eastAsia"/>
          <w:b/>
          <w:sz w:val="24"/>
          <w:szCs w:val="24"/>
        </w:rPr>
        <w:t>《对外金融资产负债及交易统计制度》的Z01表，</w:t>
      </w:r>
      <w:r w:rsidR="00E300E0">
        <w:rPr>
          <w:rFonts w:asciiTheme="minorEastAsia" w:hAnsiTheme="minorEastAsia" w:hint="eastAsia"/>
          <w:b/>
          <w:sz w:val="24"/>
          <w:szCs w:val="24"/>
        </w:rPr>
        <w:t>可否将</w:t>
      </w:r>
      <w:r w:rsidR="00E300E0" w:rsidRPr="003666EA">
        <w:rPr>
          <w:rFonts w:asciiTheme="minorEastAsia" w:hAnsiTheme="minorEastAsia" w:hint="eastAsia"/>
          <w:b/>
          <w:sz w:val="24"/>
          <w:szCs w:val="24"/>
        </w:rPr>
        <w:t>境外的税务登记号是否属于唯一标识境外</w:t>
      </w:r>
      <w:r w:rsidR="00E300E0">
        <w:rPr>
          <w:rFonts w:asciiTheme="minorEastAsia" w:hAnsiTheme="minorEastAsia" w:hint="eastAsia"/>
          <w:b/>
          <w:sz w:val="24"/>
          <w:szCs w:val="24"/>
        </w:rPr>
        <w:t>投资或被投资</w:t>
      </w:r>
      <w:r w:rsidR="00E300E0" w:rsidRPr="003666EA">
        <w:rPr>
          <w:rFonts w:asciiTheme="minorEastAsia" w:hAnsiTheme="minorEastAsia" w:hint="eastAsia"/>
          <w:b/>
          <w:sz w:val="24"/>
          <w:szCs w:val="24"/>
        </w:rPr>
        <w:t>机构的代码</w:t>
      </w:r>
      <w:r w:rsidR="00E300E0">
        <w:rPr>
          <w:rFonts w:asciiTheme="minorEastAsia" w:hAnsiTheme="minorEastAsia" w:hint="eastAsia"/>
          <w:b/>
          <w:sz w:val="24"/>
          <w:szCs w:val="24"/>
        </w:rPr>
        <w:t>？</w:t>
      </w:r>
    </w:p>
    <w:p w:rsidR="00C67AAB" w:rsidRPr="003666EA" w:rsidRDefault="00C67AAB" w:rsidP="006629EB">
      <w:pPr>
        <w:spacing w:line="360" w:lineRule="auto"/>
        <w:rPr>
          <w:rFonts w:ascii="仿宋" w:eastAsia="仿宋" w:hAnsi="仿宋"/>
          <w:sz w:val="24"/>
          <w:szCs w:val="24"/>
        </w:rPr>
      </w:pPr>
      <w:r w:rsidRPr="003666EA">
        <w:rPr>
          <w:rFonts w:ascii="仿宋" w:eastAsia="仿宋" w:hAnsi="仿宋" w:hint="eastAsia"/>
          <w:b/>
          <w:sz w:val="24"/>
          <w:szCs w:val="24"/>
        </w:rPr>
        <w:t>答：</w:t>
      </w:r>
      <w:r w:rsidR="00950A70" w:rsidRPr="003666EA">
        <w:rPr>
          <w:rFonts w:ascii="仿宋_GB2312" w:eastAsia="仿宋_GB2312" w:hAnsi="仿宋" w:hint="eastAsia"/>
          <w:sz w:val="24"/>
          <w:szCs w:val="24"/>
        </w:rPr>
        <w:t>申报主体确保所填报的境外机构代码对本机构而言是唯一的即可。</w:t>
      </w:r>
    </w:p>
    <w:p w:rsidR="00C67AAB" w:rsidRPr="003666EA" w:rsidRDefault="00C67AAB" w:rsidP="003666EA">
      <w:pPr>
        <w:spacing w:line="360" w:lineRule="auto"/>
        <w:ind w:firstLineChars="200" w:firstLine="482"/>
        <w:rPr>
          <w:rFonts w:asciiTheme="minorEastAsia" w:hAnsiTheme="minorEastAsia"/>
          <w:b/>
          <w:sz w:val="24"/>
          <w:szCs w:val="24"/>
        </w:rPr>
      </w:pPr>
    </w:p>
    <w:p w:rsidR="009A0E0A" w:rsidRPr="003666EA" w:rsidRDefault="00D36A8C"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C724F5" w:rsidRPr="003666EA">
        <w:rPr>
          <w:rFonts w:asciiTheme="minorEastAsia" w:hAnsiTheme="minorEastAsia" w:hint="eastAsia"/>
          <w:b/>
          <w:sz w:val="24"/>
          <w:szCs w:val="24"/>
        </w:rPr>
        <w:t>1</w:t>
      </w:r>
      <w:r w:rsidR="003D65AF">
        <w:rPr>
          <w:rFonts w:asciiTheme="minorEastAsia" w:hAnsiTheme="minorEastAsia" w:hint="eastAsia"/>
          <w:b/>
          <w:sz w:val="24"/>
          <w:szCs w:val="24"/>
        </w:rPr>
        <w:t>4</w:t>
      </w:r>
      <w:r w:rsidRPr="003666EA">
        <w:rPr>
          <w:rFonts w:asciiTheme="minorEastAsia" w:hAnsiTheme="minorEastAsia" w:hint="eastAsia"/>
          <w:b/>
          <w:sz w:val="24"/>
          <w:szCs w:val="24"/>
        </w:rPr>
        <w:t>：下一级被投资机构是否包括法人银行投资开设的“村镇银行（中资，非外汇指定银行）”？</w:t>
      </w:r>
    </w:p>
    <w:p w:rsidR="00D36A8C" w:rsidRPr="003666EA" w:rsidRDefault="00D36A8C"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是。</w:t>
      </w:r>
      <w:r w:rsidR="00164D0F" w:rsidRPr="003666EA">
        <w:rPr>
          <w:rFonts w:ascii="仿宋_GB2312" w:eastAsia="仿宋_GB2312" w:hAnsi="仿宋" w:hint="eastAsia"/>
          <w:sz w:val="24"/>
          <w:szCs w:val="24"/>
        </w:rPr>
        <w:t>无论是否中资，是否为非外汇指定银行，只要下一级被投资机构是境内的法人实体就需要将相关信息纳入</w:t>
      </w:r>
      <w:r w:rsidR="0041188C">
        <w:rPr>
          <w:rFonts w:ascii="仿宋_GB2312" w:eastAsia="仿宋_GB2312" w:hAnsi="仿宋" w:hint="eastAsia"/>
          <w:sz w:val="24"/>
          <w:szCs w:val="24"/>
        </w:rPr>
        <w:t>接口规范6.9节的</w:t>
      </w:r>
      <w:r w:rsidR="00164D0F" w:rsidRPr="003666EA">
        <w:rPr>
          <w:rFonts w:ascii="仿宋_GB2312" w:eastAsia="仿宋_GB2312" w:hAnsi="仿宋" w:hint="eastAsia"/>
          <w:sz w:val="24"/>
          <w:szCs w:val="24"/>
        </w:rPr>
        <w:t>Z03表统计。</w:t>
      </w:r>
    </w:p>
    <w:p w:rsidR="00EC17A4" w:rsidRPr="003666EA" w:rsidRDefault="00EC17A4" w:rsidP="003666EA">
      <w:pPr>
        <w:spacing w:line="360" w:lineRule="auto"/>
        <w:ind w:firstLineChars="200" w:firstLine="480"/>
        <w:rPr>
          <w:rFonts w:asciiTheme="minorEastAsia" w:hAnsiTheme="minorEastAsia"/>
          <w:sz w:val="24"/>
          <w:szCs w:val="24"/>
        </w:rPr>
      </w:pPr>
    </w:p>
    <w:p w:rsidR="00D36A8C" w:rsidRPr="003666EA" w:rsidRDefault="00640CB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EB1FB8" w:rsidRPr="003666EA">
        <w:rPr>
          <w:rFonts w:asciiTheme="minorEastAsia" w:hAnsiTheme="minorEastAsia" w:hint="eastAsia"/>
          <w:b/>
          <w:sz w:val="24"/>
          <w:szCs w:val="24"/>
        </w:rPr>
        <w:t>1</w:t>
      </w:r>
      <w:r w:rsidR="003D65AF">
        <w:rPr>
          <w:rFonts w:asciiTheme="minorEastAsia" w:hAnsiTheme="minorEastAsia" w:hint="eastAsia"/>
          <w:b/>
          <w:sz w:val="24"/>
          <w:szCs w:val="24"/>
        </w:rPr>
        <w:t>5</w:t>
      </w:r>
      <w:r w:rsidRPr="003666EA">
        <w:rPr>
          <w:rFonts w:asciiTheme="minorEastAsia" w:hAnsiTheme="minorEastAsia" w:hint="eastAsia"/>
          <w:b/>
          <w:sz w:val="24"/>
          <w:szCs w:val="24"/>
        </w:rPr>
        <w:t>：</w:t>
      </w:r>
      <w:r w:rsidR="00EC17A4" w:rsidRPr="003666EA">
        <w:rPr>
          <w:rFonts w:asciiTheme="minorEastAsia" w:hAnsiTheme="minorEastAsia" w:hint="eastAsia"/>
          <w:b/>
          <w:sz w:val="24"/>
          <w:szCs w:val="24"/>
        </w:rPr>
        <w:t>若银行持有境内分支机构10%以上的表决权，是否境内分支机构信息不需要体现在Z0</w:t>
      </w:r>
      <w:r w:rsidR="0050326E">
        <w:rPr>
          <w:rFonts w:asciiTheme="minorEastAsia" w:hAnsiTheme="minorEastAsia" w:hint="eastAsia"/>
          <w:b/>
          <w:sz w:val="24"/>
          <w:szCs w:val="24"/>
        </w:rPr>
        <w:t>3</w:t>
      </w:r>
      <w:r w:rsidR="00EC17A4" w:rsidRPr="003666EA">
        <w:rPr>
          <w:rFonts w:asciiTheme="minorEastAsia" w:hAnsiTheme="minorEastAsia" w:hint="eastAsia"/>
          <w:b/>
          <w:sz w:val="24"/>
          <w:szCs w:val="24"/>
        </w:rPr>
        <w:t>表中</w:t>
      </w:r>
      <w:r w:rsidRPr="003666EA">
        <w:rPr>
          <w:rFonts w:asciiTheme="minorEastAsia" w:hAnsiTheme="minorEastAsia" w:hint="eastAsia"/>
          <w:b/>
          <w:sz w:val="24"/>
          <w:szCs w:val="24"/>
        </w:rPr>
        <w:t>？</w:t>
      </w:r>
    </w:p>
    <w:p w:rsidR="003A34BA" w:rsidRDefault="00640CB0" w:rsidP="006629EB">
      <w:pPr>
        <w:spacing w:line="360" w:lineRule="auto"/>
        <w:rPr>
          <w:rFonts w:ascii="仿宋_GB2312" w:eastAsia="仿宋_GB2312" w:hAnsi="仿宋"/>
          <w:sz w:val="24"/>
          <w:szCs w:val="24"/>
        </w:rPr>
      </w:pPr>
      <w:r w:rsidRPr="003666EA">
        <w:rPr>
          <w:rFonts w:ascii="仿宋" w:eastAsia="仿宋" w:hAnsi="仿宋" w:hint="eastAsia"/>
          <w:b/>
          <w:sz w:val="24"/>
          <w:szCs w:val="24"/>
        </w:rPr>
        <w:lastRenderedPageBreak/>
        <w:t>答：</w:t>
      </w:r>
      <w:r w:rsidR="003A34BA">
        <w:rPr>
          <w:rFonts w:ascii="仿宋_GB2312" w:eastAsia="仿宋_GB2312" w:hAnsi="仿宋" w:hint="eastAsia"/>
          <w:sz w:val="24"/>
          <w:szCs w:val="24"/>
        </w:rPr>
        <w:t>汇发[2013]43号Z01表的统计范围已明确这一问题。</w:t>
      </w:r>
      <w:r w:rsidR="008C6202">
        <w:rPr>
          <w:rFonts w:ascii="仿宋_GB2312" w:eastAsia="仿宋_GB2312" w:hAnsi="仿宋" w:hint="eastAsia"/>
          <w:sz w:val="24"/>
          <w:szCs w:val="24"/>
        </w:rPr>
        <w:t>现进一步对汇发[2014]18号文的Z03部分进行</w:t>
      </w:r>
      <w:r w:rsidR="003A34BA">
        <w:rPr>
          <w:rFonts w:ascii="仿宋_GB2312" w:eastAsia="仿宋_GB2312" w:hAnsi="仿宋" w:hint="eastAsia"/>
          <w:sz w:val="24"/>
          <w:szCs w:val="24"/>
        </w:rPr>
        <w:t>说明：</w:t>
      </w:r>
    </w:p>
    <w:p w:rsidR="00E31E3D" w:rsidRDefault="00824DC1" w:rsidP="003A34BA">
      <w:pPr>
        <w:spacing w:line="360" w:lineRule="auto"/>
        <w:ind w:firstLineChars="200" w:firstLine="480"/>
        <w:rPr>
          <w:rFonts w:ascii="仿宋_GB2312" w:eastAsia="仿宋_GB2312" w:hAnsi="仿宋"/>
          <w:sz w:val="24"/>
          <w:szCs w:val="24"/>
        </w:rPr>
      </w:pPr>
      <w:r w:rsidRPr="00E31E3D">
        <w:rPr>
          <w:rFonts w:ascii="仿宋_GB2312" w:eastAsia="仿宋_GB2312" w:hAnsi="仿宋" w:hint="eastAsia"/>
          <w:sz w:val="24"/>
          <w:szCs w:val="24"/>
        </w:rPr>
        <w:t>首先，</w:t>
      </w:r>
      <w:r w:rsidR="00E616E7">
        <w:rPr>
          <w:rFonts w:ascii="仿宋_GB2312" w:eastAsia="仿宋_GB2312" w:hAnsi="仿宋" w:hint="eastAsia"/>
          <w:sz w:val="24"/>
          <w:szCs w:val="24"/>
        </w:rPr>
        <w:t>中国境内法人机构</w:t>
      </w:r>
      <w:r w:rsidR="005D661F">
        <w:rPr>
          <w:rFonts w:ascii="仿宋_GB2312" w:eastAsia="仿宋_GB2312" w:hAnsi="仿宋" w:hint="eastAsia"/>
          <w:sz w:val="24"/>
          <w:szCs w:val="24"/>
        </w:rPr>
        <w:t>（含境外机构在中国境内的法人机构）</w:t>
      </w:r>
      <w:r w:rsidR="00E616E7">
        <w:rPr>
          <w:rFonts w:ascii="仿宋_GB2312" w:eastAsia="仿宋_GB2312" w:hAnsi="仿宋" w:hint="eastAsia"/>
          <w:sz w:val="24"/>
          <w:szCs w:val="24"/>
        </w:rPr>
        <w:t>的</w:t>
      </w:r>
      <w:r w:rsidR="00E616E7" w:rsidRPr="003666EA">
        <w:rPr>
          <w:rFonts w:ascii="仿宋_GB2312" w:eastAsia="仿宋_GB2312" w:hAnsi="仿宋" w:hint="eastAsia"/>
          <w:sz w:val="24"/>
          <w:szCs w:val="24"/>
        </w:rPr>
        <w:t>境内分支机构、分理处无需填入Z0</w:t>
      </w:r>
      <w:r w:rsidR="00E616E7">
        <w:rPr>
          <w:rFonts w:ascii="仿宋_GB2312" w:eastAsia="仿宋_GB2312" w:hAnsi="仿宋" w:hint="eastAsia"/>
          <w:sz w:val="24"/>
          <w:szCs w:val="24"/>
        </w:rPr>
        <w:t>3</w:t>
      </w:r>
      <w:r w:rsidR="00E616E7" w:rsidRPr="003666EA">
        <w:rPr>
          <w:rFonts w:ascii="仿宋_GB2312" w:eastAsia="仿宋_GB2312" w:hAnsi="仿宋" w:hint="eastAsia"/>
          <w:sz w:val="24"/>
          <w:szCs w:val="24"/>
        </w:rPr>
        <w:t>表</w:t>
      </w:r>
      <w:r w:rsidR="003A34BA">
        <w:rPr>
          <w:rFonts w:ascii="仿宋_GB2312" w:eastAsia="仿宋_GB2312" w:hAnsi="仿宋" w:hint="eastAsia"/>
          <w:sz w:val="24"/>
          <w:szCs w:val="24"/>
        </w:rPr>
        <w:t>统计，这主要是为了控制申报主体的数据负担。</w:t>
      </w:r>
    </w:p>
    <w:p w:rsidR="00640CB0" w:rsidRPr="003666EA" w:rsidRDefault="003A34BA" w:rsidP="008C6202">
      <w:pPr>
        <w:spacing w:line="360" w:lineRule="auto"/>
        <w:ind w:firstLineChars="200" w:firstLine="480"/>
        <w:rPr>
          <w:rFonts w:ascii="仿宋_GB2312" w:eastAsia="仿宋_GB2312" w:hAnsi="仿宋"/>
          <w:b/>
          <w:sz w:val="24"/>
          <w:szCs w:val="24"/>
        </w:rPr>
      </w:pPr>
      <w:r>
        <w:rPr>
          <w:rFonts w:ascii="仿宋_GB2312" w:eastAsia="仿宋_GB2312" w:hAnsi="仿宋" w:hint="eastAsia"/>
          <w:sz w:val="24"/>
          <w:szCs w:val="24"/>
        </w:rPr>
        <w:t>其次，境外金融机构的中国境内的主报告分机构应</w:t>
      </w:r>
      <w:r w:rsidR="008C6202">
        <w:rPr>
          <w:rFonts w:ascii="仿宋_GB2312" w:eastAsia="仿宋_GB2312" w:hAnsi="仿宋" w:hint="eastAsia"/>
          <w:sz w:val="24"/>
          <w:szCs w:val="24"/>
        </w:rPr>
        <w:t>将境内各分行信息纳入Z</w:t>
      </w:r>
      <w:r>
        <w:rPr>
          <w:rFonts w:ascii="仿宋_GB2312" w:eastAsia="仿宋_GB2312" w:hAnsi="仿宋" w:hint="eastAsia"/>
          <w:sz w:val="24"/>
          <w:szCs w:val="24"/>
        </w:rPr>
        <w:t>03表</w:t>
      </w:r>
      <w:r w:rsidR="008C6202">
        <w:rPr>
          <w:rFonts w:ascii="仿宋_GB2312" w:eastAsia="仿宋_GB2312" w:hAnsi="仿宋" w:hint="eastAsia"/>
          <w:sz w:val="24"/>
          <w:szCs w:val="24"/>
        </w:rPr>
        <w:t>报送</w:t>
      </w:r>
      <w:r>
        <w:rPr>
          <w:rFonts w:ascii="仿宋_GB2312" w:eastAsia="仿宋_GB2312" w:hAnsi="仿宋" w:hint="eastAsia"/>
          <w:sz w:val="24"/>
          <w:szCs w:val="24"/>
        </w:rPr>
        <w:t>。具体实现流程见本部分问题</w:t>
      </w:r>
      <w:r w:rsidR="000C0685">
        <w:rPr>
          <w:rFonts w:ascii="仿宋_GB2312" w:eastAsia="仿宋_GB2312" w:hAnsi="仿宋" w:hint="eastAsia"/>
          <w:sz w:val="24"/>
          <w:szCs w:val="24"/>
        </w:rPr>
        <w:t>4</w:t>
      </w:r>
      <w:r>
        <w:rPr>
          <w:rFonts w:ascii="仿宋_GB2312" w:eastAsia="仿宋_GB2312" w:hAnsi="仿宋" w:hint="eastAsia"/>
          <w:sz w:val="24"/>
          <w:szCs w:val="24"/>
        </w:rPr>
        <w:t>的回答。</w:t>
      </w:r>
    </w:p>
    <w:p w:rsidR="00640CB0" w:rsidRDefault="00640CB0" w:rsidP="006629EB">
      <w:pPr>
        <w:spacing w:line="360" w:lineRule="auto"/>
        <w:rPr>
          <w:rFonts w:asciiTheme="minorEastAsia" w:hAnsiTheme="minorEastAsia"/>
          <w:b/>
          <w:sz w:val="24"/>
          <w:szCs w:val="24"/>
        </w:rPr>
      </w:pPr>
    </w:p>
    <w:p w:rsidR="00FF207C" w:rsidRDefault="00FF207C" w:rsidP="006629EB">
      <w:pPr>
        <w:spacing w:line="360" w:lineRule="auto"/>
        <w:rPr>
          <w:rFonts w:asciiTheme="minorEastAsia" w:hAnsiTheme="minorEastAsia"/>
          <w:b/>
          <w:sz w:val="24"/>
          <w:szCs w:val="24"/>
        </w:rPr>
      </w:pPr>
      <w:r w:rsidRPr="00152B05">
        <w:rPr>
          <w:rFonts w:asciiTheme="minorEastAsia" w:hAnsiTheme="minorEastAsia" w:hint="eastAsia"/>
          <w:b/>
          <w:sz w:val="24"/>
          <w:szCs w:val="24"/>
        </w:rPr>
        <w:t>问题1</w:t>
      </w:r>
      <w:r w:rsidR="003D65AF">
        <w:rPr>
          <w:rFonts w:asciiTheme="minorEastAsia" w:hAnsiTheme="minorEastAsia" w:hint="eastAsia"/>
          <w:b/>
          <w:sz w:val="24"/>
          <w:szCs w:val="24"/>
        </w:rPr>
        <w:t>6</w:t>
      </w:r>
      <w:r w:rsidRPr="00152B05">
        <w:rPr>
          <w:rFonts w:asciiTheme="minorEastAsia" w:hAnsiTheme="minorEastAsia" w:hint="eastAsia"/>
          <w:b/>
          <w:sz w:val="24"/>
          <w:szCs w:val="24"/>
        </w:rPr>
        <w:t>：</w:t>
      </w:r>
      <w:r w:rsidR="005B003A">
        <w:rPr>
          <w:rFonts w:asciiTheme="minorEastAsia" w:hAnsiTheme="minorEastAsia" w:hint="eastAsia"/>
          <w:b/>
          <w:sz w:val="24"/>
          <w:szCs w:val="24"/>
        </w:rPr>
        <w:t>对于境内金融机构购买房地产的，应该如何统计？</w:t>
      </w:r>
    </w:p>
    <w:p w:rsidR="005B003A" w:rsidRDefault="005B003A" w:rsidP="006629EB">
      <w:pPr>
        <w:spacing w:line="360" w:lineRule="auto"/>
        <w:rPr>
          <w:rFonts w:ascii="仿宋_GB2312" w:eastAsia="仿宋_GB2312" w:hAnsi="仿宋"/>
          <w:sz w:val="24"/>
          <w:szCs w:val="24"/>
        </w:rPr>
      </w:pPr>
      <w:r>
        <w:rPr>
          <w:rFonts w:asciiTheme="minorEastAsia" w:hAnsiTheme="minorEastAsia" w:hint="eastAsia"/>
          <w:b/>
          <w:sz w:val="24"/>
          <w:szCs w:val="24"/>
        </w:rPr>
        <w:t>答：</w:t>
      </w:r>
      <w:r w:rsidRPr="005B003A">
        <w:rPr>
          <w:rFonts w:ascii="仿宋_GB2312" w:eastAsia="仿宋_GB2312" w:hAnsi="仿宋" w:hint="eastAsia"/>
          <w:sz w:val="24"/>
          <w:szCs w:val="24"/>
        </w:rPr>
        <w:t>首先，境内机构直接在境外</w:t>
      </w:r>
      <w:r>
        <w:rPr>
          <w:rFonts w:ascii="仿宋_GB2312" w:eastAsia="仿宋_GB2312" w:hAnsi="仿宋" w:hint="eastAsia"/>
          <w:sz w:val="24"/>
          <w:szCs w:val="24"/>
        </w:rPr>
        <w:t>以自身名义</w:t>
      </w:r>
      <w:r w:rsidRPr="005B003A">
        <w:rPr>
          <w:rFonts w:ascii="仿宋_GB2312" w:eastAsia="仿宋_GB2312" w:hAnsi="仿宋" w:hint="eastAsia"/>
          <w:sz w:val="24"/>
          <w:szCs w:val="24"/>
        </w:rPr>
        <w:t>购买房地产，</w:t>
      </w:r>
      <w:r>
        <w:rPr>
          <w:rFonts w:ascii="仿宋_GB2312" w:eastAsia="仿宋_GB2312" w:hAnsi="仿宋" w:hint="eastAsia"/>
          <w:sz w:val="24"/>
          <w:szCs w:val="24"/>
        </w:rPr>
        <w:t>这属于</w:t>
      </w:r>
      <w:r w:rsidR="00B02318">
        <w:rPr>
          <w:rFonts w:ascii="仿宋_GB2312" w:eastAsia="仿宋_GB2312" w:hAnsi="仿宋" w:hint="eastAsia"/>
          <w:sz w:val="24"/>
          <w:szCs w:val="24"/>
        </w:rPr>
        <w:t>境内机构的</w:t>
      </w:r>
      <w:r>
        <w:rPr>
          <w:rFonts w:ascii="仿宋_GB2312" w:eastAsia="仿宋_GB2312" w:hAnsi="仿宋" w:hint="eastAsia"/>
          <w:sz w:val="24"/>
          <w:szCs w:val="24"/>
        </w:rPr>
        <w:t>对外直接投资行为，应</w:t>
      </w:r>
      <w:r w:rsidR="00A400B1">
        <w:rPr>
          <w:rFonts w:ascii="仿宋_GB2312" w:eastAsia="仿宋_GB2312" w:hAnsi="仿宋" w:hint="eastAsia"/>
          <w:sz w:val="24"/>
          <w:szCs w:val="24"/>
        </w:rPr>
        <w:t>在</w:t>
      </w:r>
      <w:r>
        <w:rPr>
          <w:rFonts w:ascii="仿宋_GB2312" w:eastAsia="仿宋_GB2312" w:hAnsi="仿宋" w:hint="eastAsia"/>
          <w:sz w:val="24"/>
          <w:szCs w:val="24"/>
        </w:rPr>
        <w:t>Z03表中填报该房地产信息，并</w:t>
      </w:r>
      <w:r w:rsidR="006C447E">
        <w:rPr>
          <w:rFonts w:ascii="仿宋_GB2312" w:eastAsia="仿宋_GB2312" w:hAnsi="仿宋" w:hint="eastAsia"/>
          <w:sz w:val="24"/>
          <w:szCs w:val="24"/>
        </w:rPr>
        <w:t>将</w:t>
      </w:r>
      <w:r>
        <w:rPr>
          <w:rFonts w:ascii="仿宋_GB2312" w:eastAsia="仿宋_GB2312" w:hAnsi="仿宋" w:hint="eastAsia"/>
          <w:sz w:val="24"/>
          <w:szCs w:val="24"/>
        </w:rPr>
        <w:t>购买房地产的支出填报在A01-2表中</w:t>
      </w:r>
      <w:r w:rsidR="00320413">
        <w:rPr>
          <w:rFonts w:ascii="仿宋_GB2312" w:eastAsia="仿宋_GB2312" w:hAnsi="仿宋" w:hint="eastAsia"/>
          <w:sz w:val="24"/>
          <w:szCs w:val="24"/>
        </w:rPr>
        <w:t>，将相关房产的市值填报在A01-1表中</w:t>
      </w:r>
      <w:r w:rsidR="00914C80">
        <w:rPr>
          <w:rFonts w:ascii="仿宋_GB2312" w:eastAsia="仿宋_GB2312" w:hAnsi="仿宋" w:hint="eastAsia"/>
          <w:sz w:val="24"/>
          <w:szCs w:val="24"/>
        </w:rPr>
        <w:t>，具体为A0129、A0130、A0131分别填写该笔房产的计价币种、本机构持有数量（为“1”）和相关房产的市值。</w:t>
      </w:r>
      <w:r w:rsidR="006C447E">
        <w:rPr>
          <w:rFonts w:ascii="仿宋_GB2312" w:eastAsia="仿宋_GB2312" w:hAnsi="仿宋" w:hint="eastAsia"/>
          <w:sz w:val="24"/>
          <w:szCs w:val="24"/>
        </w:rPr>
        <w:t>如果</w:t>
      </w:r>
      <w:r w:rsidR="00B02318">
        <w:rPr>
          <w:rFonts w:ascii="仿宋_GB2312" w:eastAsia="仿宋_GB2312" w:hAnsi="仿宋" w:hint="eastAsia"/>
          <w:sz w:val="24"/>
          <w:szCs w:val="24"/>
        </w:rPr>
        <w:t>相关房产</w:t>
      </w:r>
      <w:r w:rsidR="006C447E">
        <w:rPr>
          <w:rFonts w:ascii="仿宋_GB2312" w:eastAsia="仿宋_GB2312" w:hAnsi="仿宋" w:hint="eastAsia"/>
          <w:sz w:val="24"/>
          <w:szCs w:val="24"/>
        </w:rPr>
        <w:t>提供</w:t>
      </w:r>
      <w:r w:rsidR="00B02318">
        <w:rPr>
          <w:rFonts w:ascii="仿宋_GB2312" w:eastAsia="仿宋_GB2312" w:hAnsi="仿宋" w:hint="eastAsia"/>
          <w:sz w:val="24"/>
          <w:szCs w:val="24"/>
        </w:rPr>
        <w:t>给境外</w:t>
      </w:r>
      <w:r w:rsidR="006C447E">
        <w:rPr>
          <w:rFonts w:ascii="仿宋_GB2312" w:eastAsia="仿宋_GB2312" w:hAnsi="仿宋" w:hint="eastAsia"/>
          <w:sz w:val="24"/>
          <w:szCs w:val="24"/>
        </w:rPr>
        <w:t>机构</w:t>
      </w:r>
      <w:r w:rsidR="00B02318">
        <w:rPr>
          <w:rFonts w:ascii="仿宋_GB2312" w:eastAsia="仿宋_GB2312" w:hAnsi="仿宋" w:hint="eastAsia"/>
          <w:sz w:val="24"/>
          <w:szCs w:val="24"/>
        </w:rPr>
        <w:t>使用，则</w:t>
      </w:r>
      <w:r w:rsidR="006C447E">
        <w:rPr>
          <w:rFonts w:ascii="仿宋_GB2312" w:eastAsia="仿宋_GB2312" w:hAnsi="仿宋" w:hint="eastAsia"/>
          <w:sz w:val="24"/>
          <w:szCs w:val="24"/>
        </w:rPr>
        <w:t>可能发生</w:t>
      </w:r>
      <w:r w:rsidR="00B02318">
        <w:rPr>
          <w:rFonts w:ascii="仿宋_GB2312" w:eastAsia="仿宋_GB2312" w:hAnsi="仿宋" w:hint="eastAsia"/>
          <w:sz w:val="24"/>
          <w:szCs w:val="24"/>
        </w:rPr>
        <w:t>租金</w:t>
      </w:r>
      <w:r w:rsidR="006C447E">
        <w:rPr>
          <w:rFonts w:ascii="仿宋_GB2312" w:eastAsia="仿宋_GB2312" w:hAnsi="仿宋" w:hint="eastAsia"/>
          <w:sz w:val="24"/>
          <w:szCs w:val="24"/>
        </w:rPr>
        <w:t>收入，属于</w:t>
      </w:r>
      <w:r w:rsidR="009F00C2">
        <w:rPr>
          <w:rFonts w:ascii="仿宋_GB2312" w:eastAsia="仿宋_GB2312" w:hAnsi="仿宋" w:hint="eastAsia"/>
          <w:sz w:val="24"/>
          <w:szCs w:val="24"/>
        </w:rPr>
        <w:t>对外</w:t>
      </w:r>
      <w:r w:rsidR="006C447E">
        <w:rPr>
          <w:rFonts w:ascii="仿宋_GB2312" w:eastAsia="仿宋_GB2312" w:hAnsi="仿宋" w:hint="eastAsia"/>
          <w:sz w:val="24"/>
          <w:szCs w:val="24"/>
        </w:rPr>
        <w:t>直接投资收益</w:t>
      </w:r>
      <w:r w:rsidR="00B02318">
        <w:rPr>
          <w:rFonts w:ascii="仿宋_GB2312" w:eastAsia="仿宋_GB2312" w:hAnsi="仿宋" w:hint="eastAsia"/>
          <w:sz w:val="24"/>
          <w:szCs w:val="24"/>
        </w:rPr>
        <w:t>。</w:t>
      </w:r>
    </w:p>
    <w:p w:rsidR="00600B38" w:rsidRDefault="00320413" w:rsidP="00320413">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其次，</w:t>
      </w:r>
      <w:r w:rsidR="00600B38">
        <w:rPr>
          <w:rFonts w:ascii="仿宋_GB2312" w:eastAsia="仿宋_GB2312" w:hAnsi="仿宋" w:hint="eastAsia"/>
          <w:sz w:val="24"/>
          <w:szCs w:val="24"/>
        </w:rPr>
        <w:t>如果</w:t>
      </w:r>
      <w:r w:rsidR="00736F34">
        <w:rPr>
          <w:rFonts w:ascii="仿宋_GB2312" w:eastAsia="仿宋_GB2312" w:hAnsi="仿宋" w:hint="eastAsia"/>
          <w:sz w:val="24"/>
          <w:szCs w:val="24"/>
        </w:rPr>
        <w:t>是</w:t>
      </w:r>
      <w:r w:rsidR="00600B38">
        <w:rPr>
          <w:rFonts w:ascii="仿宋_GB2312" w:eastAsia="仿宋_GB2312" w:hAnsi="仿宋" w:hint="eastAsia"/>
          <w:sz w:val="24"/>
          <w:szCs w:val="24"/>
        </w:rPr>
        <w:t>本机构境外代表处购买并持有该房产，则本机构拨付境外代表处的</w:t>
      </w:r>
      <w:r w:rsidR="001E6840">
        <w:rPr>
          <w:rFonts w:ascii="仿宋_GB2312" w:eastAsia="仿宋_GB2312" w:hAnsi="仿宋" w:hint="eastAsia"/>
          <w:sz w:val="24"/>
          <w:szCs w:val="24"/>
        </w:rPr>
        <w:t>该笔房地产</w:t>
      </w:r>
      <w:r w:rsidR="00600B38">
        <w:rPr>
          <w:rFonts w:ascii="仿宋_GB2312" w:eastAsia="仿宋_GB2312" w:hAnsi="仿宋" w:hint="eastAsia"/>
          <w:sz w:val="24"/>
          <w:szCs w:val="24"/>
        </w:rPr>
        <w:t>投资款不纳入E01表的</w:t>
      </w:r>
      <w:r w:rsidR="00736F34" w:rsidRPr="003666EA">
        <w:rPr>
          <w:rFonts w:asciiTheme="minorEastAsia" w:hAnsiTheme="minorEastAsia" w:hint="eastAsia"/>
          <w:b/>
          <w:sz w:val="24"/>
          <w:szCs w:val="24"/>
        </w:rPr>
        <w:t>“</w:t>
      </w:r>
      <w:r w:rsidR="00736F34">
        <w:rPr>
          <w:rFonts w:asciiTheme="minorEastAsia" w:hAnsiTheme="minorEastAsia" w:hint="eastAsia"/>
          <w:b/>
          <w:sz w:val="24"/>
          <w:szCs w:val="24"/>
        </w:rPr>
        <w:t>2300</w:t>
      </w:r>
      <w:r w:rsidR="00600B38">
        <w:rPr>
          <w:rFonts w:ascii="仿宋_GB2312" w:eastAsia="仿宋_GB2312" w:hAnsi="仿宋" w:hint="eastAsia"/>
          <w:sz w:val="24"/>
          <w:szCs w:val="24"/>
        </w:rPr>
        <w:t>代表处经费</w:t>
      </w:r>
      <w:r w:rsidR="00736F34" w:rsidRPr="003666EA">
        <w:rPr>
          <w:rFonts w:asciiTheme="minorEastAsia" w:hAnsiTheme="minorEastAsia" w:hint="eastAsia"/>
          <w:b/>
          <w:sz w:val="24"/>
          <w:szCs w:val="24"/>
        </w:rPr>
        <w:t>”</w:t>
      </w:r>
      <w:r w:rsidR="00600B38">
        <w:rPr>
          <w:rFonts w:ascii="仿宋_GB2312" w:eastAsia="仿宋_GB2312" w:hAnsi="仿宋" w:hint="eastAsia"/>
          <w:sz w:val="24"/>
          <w:szCs w:val="24"/>
        </w:rPr>
        <w:t>支出</w:t>
      </w:r>
      <w:r w:rsidR="00736F34">
        <w:rPr>
          <w:rFonts w:ascii="仿宋_GB2312" w:eastAsia="仿宋_GB2312" w:hAnsi="仿宋" w:hint="eastAsia"/>
          <w:sz w:val="24"/>
          <w:szCs w:val="24"/>
        </w:rPr>
        <w:t>统计，而</w:t>
      </w:r>
      <w:r w:rsidR="00085BCB">
        <w:rPr>
          <w:rFonts w:ascii="仿宋_GB2312" w:eastAsia="仿宋_GB2312" w:hAnsi="仿宋" w:hint="eastAsia"/>
          <w:sz w:val="24"/>
          <w:szCs w:val="24"/>
        </w:rPr>
        <w:t>应纳入</w:t>
      </w:r>
      <w:r w:rsidR="00736F34">
        <w:rPr>
          <w:rFonts w:ascii="仿宋_GB2312" w:eastAsia="仿宋_GB2312" w:hAnsi="仿宋" w:hint="eastAsia"/>
          <w:sz w:val="24"/>
          <w:szCs w:val="24"/>
        </w:rPr>
        <w:t>A01-2表统计，同时将该境外代表处纳入Z03表和A01-1表记录。其中，A01-1表中该境外代表处的资产负债表应反映该房产价值，A01-1表的A0129、A0130、A0131</w:t>
      </w:r>
      <w:r w:rsidR="00085BCB">
        <w:rPr>
          <w:rFonts w:ascii="仿宋_GB2312" w:eastAsia="仿宋_GB2312" w:hAnsi="仿宋" w:hint="eastAsia"/>
          <w:sz w:val="24"/>
          <w:szCs w:val="24"/>
        </w:rPr>
        <w:t>应</w:t>
      </w:r>
      <w:r w:rsidR="00914C80">
        <w:rPr>
          <w:rFonts w:ascii="仿宋_GB2312" w:eastAsia="仿宋_GB2312" w:hAnsi="仿宋" w:hint="eastAsia"/>
          <w:sz w:val="24"/>
          <w:szCs w:val="24"/>
        </w:rPr>
        <w:t>分别填写</w:t>
      </w:r>
      <w:r w:rsidR="00736F34">
        <w:rPr>
          <w:rFonts w:ascii="仿宋_GB2312" w:eastAsia="仿宋_GB2312" w:hAnsi="仿宋" w:hint="eastAsia"/>
          <w:sz w:val="24"/>
          <w:szCs w:val="24"/>
        </w:rPr>
        <w:t>该笔房产的计价币种、本机构持有数量（为“1”）和相关房产的市值。</w:t>
      </w:r>
      <w:r w:rsidR="00914C80">
        <w:rPr>
          <w:rFonts w:ascii="仿宋_GB2312" w:eastAsia="仿宋_GB2312" w:hAnsi="仿宋" w:hint="eastAsia"/>
          <w:sz w:val="24"/>
          <w:szCs w:val="24"/>
        </w:rPr>
        <w:t>除购房款以外的“境外代表处经费”仍应纳入E01表的</w:t>
      </w:r>
      <w:r w:rsidR="00914C80" w:rsidRPr="003666EA">
        <w:rPr>
          <w:rFonts w:asciiTheme="minorEastAsia" w:hAnsiTheme="minorEastAsia" w:hint="eastAsia"/>
          <w:b/>
          <w:sz w:val="24"/>
          <w:szCs w:val="24"/>
        </w:rPr>
        <w:t>“</w:t>
      </w:r>
      <w:r w:rsidR="00914C80" w:rsidRPr="00C72148">
        <w:rPr>
          <w:rFonts w:ascii="仿宋_GB2312" w:eastAsia="仿宋_GB2312" w:hAnsi="仿宋" w:hint="eastAsia"/>
          <w:sz w:val="24"/>
          <w:szCs w:val="24"/>
        </w:rPr>
        <w:t>2300</w:t>
      </w:r>
      <w:r w:rsidR="00914C80">
        <w:rPr>
          <w:rFonts w:ascii="仿宋_GB2312" w:eastAsia="仿宋_GB2312" w:hAnsi="仿宋" w:hint="eastAsia"/>
          <w:sz w:val="24"/>
          <w:szCs w:val="24"/>
        </w:rPr>
        <w:t>代表处经费</w:t>
      </w:r>
      <w:r w:rsidR="00914C80" w:rsidRPr="003666EA">
        <w:rPr>
          <w:rFonts w:asciiTheme="minorEastAsia" w:hAnsiTheme="minorEastAsia" w:hint="eastAsia"/>
          <w:b/>
          <w:sz w:val="24"/>
          <w:szCs w:val="24"/>
        </w:rPr>
        <w:t>”</w:t>
      </w:r>
      <w:r w:rsidR="00914C80">
        <w:rPr>
          <w:rFonts w:ascii="仿宋_GB2312" w:eastAsia="仿宋_GB2312" w:hAnsi="仿宋" w:hint="eastAsia"/>
          <w:sz w:val="24"/>
          <w:szCs w:val="24"/>
        </w:rPr>
        <w:t>支出统计。</w:t>
      </w:r>
    </w:p>
    <w:p w:rsidR="00B02318" w:rsidRDefault="00B02318" w:rsidP="00320413">
      <w:pPr>
        <w:spacing w:line="360" w:lineRule="auto"/>
        <w:ind w:firstLineChars="200" w:firstLine="480"/>
        <w:rPr>
          <w:rFonts w:ascii="仿宋_GB2312" w:eastAsia="仿宋_GB2312" w:hAnsi="仿宋"/>
          <w:sz w:val="24"/>
          <w:szCs w:val="24"/>
        </w:rPr>
      </w:pPr>
      <w:r>
        <w:rPr>
          <w:rFonts w:ascii="仿宋_GB2312" w:eastAsia="仿宋_GB2312" w:hAnsi="仿宋" w:hint="eastAsia"/>
          <w:sz w:val="24"/>
          <w:szCs w:val="24"/>
        </w:rPr>
        <w:t>最后，如果是境内机构在境外的分支机构、子机构、联营机构或合营机构购买和持有该房地产，则购买境外房地产的行为属于非居民与非居民的交易，不纳入本表统计。</w:t>
      </w:r>
    </w:p>
    <w:p w:rsidR="00FF207C" w:rsidRPr="003666EA" w:rsidRDefault="00FF207C" w:rsidP="006629EB">
      <w:pPr>
        <w:spacing w:line="360" w:lineRule="auto"/>
        <w:rPr>
          <w:rFonts w:asciiTheme="minorEastAsia" w:hAnsiTheme="minorEastAsia"/>
          <w:b/>
          <w:sz w:val="24"/>
          <w:szCs w:val="24"/>
        </w:rPr>
      </w:pPr>
    </w:p>
    <w:p w:rsidR="00D14E5E" w:rsidRPr="003666EA" w:rsidRDefault="00D14E5E" w:rsidP="006629EB">
      <w:pPr>
        <w:spacing w:line="360" w:lineRule="auto"/>
        <w:rPr>
          <w:rFonts w:asciiTheme="minorEastAsia" w:hAnsiTheme="minorEastAsia"/>
          <w:b/>
          <w:sz w:val="24"/>
          <w:szCs w:val="24"/>
        </w:rPr>
      </w:pPr>
      <w:r w:rsidRPr="00641B0C">
        <w:rPr>
          <w:rFonts w:asciiTheme="minorEastAsia" w:hAnsiTheme="minorEastAsia" w:hint="eastAsia"/>
          <w:b/>
          <w:sz w:val="24"/>
          <w:szCs w:val="24"/>
        </w:rPr>
        <w:t>问题</w:t>
      </w:r>
      <w:r w:rsidR="00640CB0" w:rsidRPr="00641B0C">
        <w:rPr>
          <w:rFonts w:asciiTheme="minorEastAsia" w:hAnsiTheme="minorEastAsia" w:hint="eastAsia"/>
          <w:b/>
          <w:sz w:val="24"/>
          <w:szCs w:val="24"/>
        </w:rPr>
        <w:t>1</w:t>
      </w:r>
      <w:r w:rsidR="003D65AF">
        <w:rPr>
          <w:rFonts w:asciiTheme="minorEastAsia" w:hAnsiTheme="minorEastAsia" w:hint="eastAsia"/>
          <w:b/>
          <w:sz w:val="24"/>
          <w:szCs w:val="24"/>
        </w:rPr>
        <w:t>7</w:t>
      </w:r>
      <w:r w:rsidRPr="00641B0C">
        <w:rPr>
          <w:rFonts w:asciiTheme="minorEastAsia" w:hAnsiTheme="minorEastAsia" w:hint="eastAsia"/>
          <w:b/>
          <w:sz w:val="24"/>
          <w:szCs w:val="24"/>
        </w:rPr>
        <w:t>：</w:t>
      </w:r>
      <w:r w:rsidR="00400C37" w:rsidRPr="00641B0C">
        <w:rPr>
          <w:rFonts w:asciiTheme="minorEastAsia" w:hAnsiTheme="minorEastAsia" w:hint="eastAsia"/>
          <w:b/>
          <w:sz w:val="24"/>
          <w:szCs w:val="24"/>
        </w:rPr>
        <w:t>在</w:t>
      </w:r>
      <w:r w:rsidR="00400C37" w:rsidRPr="003666EA">
        <w:rPr>
          <w:rFonts w:asciiTheme="minorEastAsia" w:hAnsiTheme="minorEastAsia" w:hint="eastAsia"/>
          <w:b/>
          <w:sz w:val="24"/>
          <w:szCs w:val="24"/>
        </w:rPr>
        <w:t>存在SPV</w:t>
      </w:r>
      <w:r w:rsidR="008A5524">
        <w:rPr>
          <w:rFonts w:asciiTheme="minorEastAsia" w:hAnsiTheme="minorEastAsia" w:hint="eastAsia"/>
          <w:b/>
          <w:sz w:val="24"/>
          <w:szCs w:val="24"/>
        </w:rPr>
        <w:t>（或SPE）</w:t>
      </w:r>
      <w:r w:rsidR="00400C37" w:rsidRPr="003666EA">
        <w:rPr>
          <w:rFonts w:asciiTheme="minorEastAsia" w:hAnsiTheme="minorEastAsia" w:hint="eastAsia"/>
          <w:b/>
          <w:sz w:val="24"/>
          <w:szCs w:val="24"/>
        </w:rPr>
        <w:t>的情况下，如何认定</w:t>
      </w:r>
      <w:r w:rsidRPr="003666EA">
        <w:rPr>
          <w:rFonts w:asciiTheme="minorEastAsia" w:hAnsiTheme="minorEastAsia" w:hint="eastAsia"/>
          <w:b/>
          <w:sz w:val="24"/>
          <w:szCs w:val="24"/>
        </w:rPr>
        <w:t>《对外金融资产负债及交易统计制度》A01表</w:t>
      </w:r>
      <w:r w:rsidR="00400C37" w:rsidRPr="003666EA">
        <w:rPr>
          <w:rFonts w:asciiTheme="minorEastAsia" w:hAnsiTheme="minorEastAsia" w:hint="eastAsia"/>
          <w:b/>
          <w:sz w:val="24"/>
          <w:szCs w:val="24"/>
        </w:rPr>
        <w:t>中的“境外被投资机构”</w:t>
      </w:r>
      <w:r w:rsidR="00867C15" w:rsidRPr="003666EA">
        <w:rPr>
          <w:rFonts w:asciiTheme="minorEastAsia" w:hAnsiTheme="minorEastAsia" w:hint="eastAsia"/>
          <w:b/>
          <w:sz w:val="24"/>
          <w:szCs w:val="24"/>
        </w:rPr>
        <w:t>？</w:t>
      </w:r>
    </w:p>
    <w:p w:rsidR="008824E6" w:rsidRDefault="00A23487" w:rsidP="006629EB">
      <w:pPr>
        <w:spacing w:line="360" w:lineRule="auto"/>
        <w:rPr>
          <w:rFonts w:ascii="仿宋_GB2312" w:eastAsia="仿宋_GB2312" w:hAnsi="仿宋" w:cs="宋体"/>
          <w:kern w:val="0"/>
          <w:sz w:val="24"/>
          <w:szCs w:val="24"/>
        </w:rPr>
      </w:pPr>
      <w:r w:rsidRPr="003666EA">
        <w:rPr>
          <w:rFonts w:ascii="仿宋" w:eastAsia="仿宋" w:hAnsi="仿宋" w:hint="eastAsia"/>
          <w:b/>
          <w:sz w:val="24"/>
          <w:szCs w:val="24"/>
        </w:rPr>
        <w:t>答：</w:t>
      </w:r>
      <w:r w:rsidR="00BE3966" w:rsidRPr="003666EA">
        <w:rPr>
          <w:rFonts w:ascii="仿宋_GB2312" w:eastAsia="仿宋_GB2312" w:hAnsi="仿宋" w:cs="宋体" w:hint="eastAsia"/>
          <w:kern w:val="0"/>
          <w:sz w:val="24"/>
          <w:szCs w:val="24"/>
        </w:rPr>
        <w:t>如果</w:t>
      </w:r>
      <w:r w:rsidRPr="003666EA">
        <w:rPr>
          <w:rFonts w:ascii="仿宋_GB2312" w:eastAsia="仿宋_GB2312" w:hAnsi="仿宋" w:cs="宋体" w:hint="eastAsia"/>
          <w:kern w:val="0"/>
          <w:sz w:val="24"/>
          <w:szCs w:val="24"/>
        </w:rPr>
        <w:t>本机构在境外设立</w:t>
      </w:r>
      <w:r w:rsidR="00BE3966" w:rsidRPr="003666EA">
        <w:rPr>
          <w:rFonts w:ascii="仿宋_GB2312" w:eastAsia="仿宋_GB2312" w:hAnsi="仿宋" w:cs="宋体" w:hint="eastAsia"/>
          <w:kern w:val="0"/>
          <w:sz w:val="24"/>
          <w:szCs w:val="24"/>
        </w:rPr>
        <w:t>了</w:t>
      </w:r>
      <w:r w:rsidR="002D4138">
        <w:rPr>
          <w:rFonts w:ascii="仿宋_GB2312" w:eastAsia="仿宋_GB2312" w:hAnsi="仿宋" w:cs="宋体" w:hint="eastAsia"/>
          <w:kern w:val="0"/>
          <w:sz w:val="24"/>
          <w:szCs w:val="24"/>
        </w:rPr>
        <w:t>特殊目的实体（</w:t>
      </w:r>
      <w:r w:rsidRPr="003666EA">
        <w:rPr>
          <w:rFonts w:ascii="仿宋_GB2312" w:eastAsia="仿宋_GB2312" w:hAnsi="仿宋" w:cs="宋体" w:hint="eastAsia"/>
          <w:kern w:val="0"/>
          <w:sz w:val="24"/>
          <w:szCs w:val="24"/>
        </w:rPr>
        <w:t>SPV</w:t>
      </w:r>
      <w:r w:rsidR="008A5524">
        <w:rPr>
          <w:rFonts w:ascii="仿宋_GB2312" w:eastAsia="仿宋_GB2312" w:hAnsi="仿宋" w:cs="宋体" w:hint="eastAsia"/>
          <w:kern w:val="0"/>
          <w:sz w:val="24"/>
          <w:szCs w:val="24"/>
        </w:rPr>
        <w:t>或SPE）</w:t>
      </w:r>
      <w:r w:rsidR="008824E6">
        <w:rPr>
          <w:rFonts w:ascii="仿宋_GB2312" w:eastAsia="仿宋_GB2312" w:hAnsi="仿宋" w:cs="宋体" w:hint="eastAsia"/>
          <w:kern w:val="0"/>
          <w:sz w:val="24"/>
          <w:szCs w:val="24"/>
        </w:rPr>
        <w:t>或壳公司</w:t>
      </w:r>
      <w:r w:rsidRPr="003666EA">
        <w:rPr>
          <w:rFonts w:ascii="仿宋_GB2312" w:eastAsia="仿宋_GB2312" w:hAnsi="仿宋" w:cs="宋体" w:hint="eastAsia"/>
          <w:kern w:val="0"/>
          <w:sz w:val="24"/>
          <w:szCs w:val="24"/>
        </w:rPr>
        <w:t>，</w:t>
      </w:r>
      <w:r w:rsidR="00CA2BB5">
        <w:rPr>
          <w:rFonts w:ascii="仿宋_GB2312" w:eastAsia="仿宋_GB2312" w:hAnsi="仿宋" w:cs="宋体" w:hint="eastAsia"/>
          <w:kern w:val="0"/>
          <w:sz w:val="24"/>
          <w:szCs w:val="24"/>
        </w:rPr>
        <w:t>原则上应</w:t>
      </w:r>
      <w:r w:rsidR="00665156">
        <w:rPr>
          <w:rFonts w:ascii="仿宋_GB2312" w:eastAsia="仿宋_GB2312" w:hAnsi="仿宋" w:cs="宋体" w:hint="eastAsia"/>
          <w:kern w:val="0"/>
          <w:sz w:val="24"/>
          <w:szCs w:val="24"/>
        </w:rPr>
        <w:t xml:space="preserve"> </w:t>
      </w:r>
      <w:r w:rsidR="00CA2BB5">
        <w:rPr>
          <w:rFonts w:ascii="仿宋_GB2312" w:eastAsia="仿宋_GB2312" w:hAnsi="仿宋" w:cs="宋体" w:hint="eastAsia"/>
          <w:kern w:val="0"/>
          <w:sz w:val="24"/>
          <w:szCs w:val="24"/>
        </w:rPr>
        <w:t>“看穿”</w:t>
      </w:r>
      <w:r w:rsidR="002D4138">
        <w:rPr>
          <w:rFonts w:ascii="仿宋_GB2312" w:eastAsia="仿宋_GB2312" w:hAnsi="仿宋" w:cs="宋体" w:hint="eastAsia"/>
          <w:kern w:val="0"/>
          <w:sz w:val="24"/>
          <w:szCs w:val="24"/>
        </w:rPr>
        <w:t>该</w:t>
      </w:r>
      <w:r w:rsidR="00EC44F4">
        <w:rPr>
          <w:rFonts w:ascii="仿宋_GB2312" w:eastAsia="仿宋_GB2312" w:hAnsi="仿宋" w:cs="宋体" w:hint="eastAsia"/>
          <w:kern w:val="0"/>
          <w:sz w:val="24"/>
          <w:szCs w:val="24"/>
        </w:rPr>
        <w:t>境外SPV</w:t>
      </w:r>
      <w:r w:rsidR="008824E6">
        <w:rPr>
          <w:rFonts w:ascii="仿宋_GB2312" w:eastAsia="仿宋_GB2312" w:hAnsi="仿宋" w:cs="宋体" w:hint="eastAsia"/>
          <w:kern w:val="0"/>
          <w:sz w:val="24"/>
          <w:szCs w:val="24"/>
        </w:rPr>
        <w:t>或壳公司</w:t>
      </w:r>
      <w:r w:rsidR="00974116">
        <w:rPr>
          <w:rFonts w:ascii="仿宋_GB2312" w:eastAsia="仿宋_GB2312" w:hAnsi="仿宋" w:cs="宋体" w:hint="eastAsia"/>
          <w:kern w:val="0"/>
          <w:sz w:val="24"/>
          <w:szCs w:val="24"/>
        </w:rPr>
        <w:t>直</w:t>
      </w:r>
      <w:r w:rsidR="00640689">
        <w:rPr>
          <w:rFonts w:ascii="仿宋_GB2312" w:eastAsia="仿宋_GB2312" w:hAnsi="仿宋" w:cs="宋体" w:hint="eastAsia"/>
          <w:kern w:val="0"/>
          <w:sz w:val="24"/>
          <w:szCs w:val="24"/>
        </w:rPr>
        <w:t>至</w:t>
      </w:r>
      <w:r w:rsidR="00A3647A">
        <w:rPr>
          <w:rFonts w:ascii="仿宋_GB2312" w:eastAsia="仿宋_GB2312" w:hAnsi="仿宋" w:cs="宋体" w:hint="eastAsia"/>
          <w:kern w:val="0"/>
          <w:sz w:val="24"/>
          <w:szCs w:val="24"/>
        </w:rPr>
        <w:t>首个</w:t>
      </w:r>
      <w:r w:rsidR="00CA2BB5">
        <w:rPr>
          <w:rFonts w:ascii="仿宋_GB2312" w:eastAsia="仿宋_GB2312" w:hAnsi="仿宋" w:cs="宋体" w:hint="eastAsia"/>
          <w:kern w:val="0"/>
          <w:sz w:val="24"/>
          <w:szCs w:val="24"/>
        </w:rPr>
        <w:t>非SPV实体</w:t>
      </w:r>
      <w:r w:rsidR="008824E6">
        <w:rPr>
          <w:rFonts w:ascii="仿宋_GB2312" w:eastAsia="仿宋_GB2312" w:hAnsi="仿宋" w:cs="宋体" w:hint="eastAsia"/>
          <w:kern w:val="0"/>
          <w:sz w:val="24"/>
          <w:szCs w:val="24"/>
        </w:rPr>
        <w:t>，</w:t>
      </w:r>
      <w:r w:rsidR="002D4138">
        <w:rPr>
          <w:rFonts w:ascii="仿宋_GB2312" w:eastAsia="仿宋_GB2312" w:hAnsi="仿宋" w:cs="宋体" w:hint="eastAsia"/>
          <w:kern w:val="0"/>
          <w:sz w:val="24"/>
          <w:szCs w:val="24"/>
        </w:rPr>
        <w:t>并</w:t>
      </w:r>
      <w:r w:rsidR="00892C2A">
        <w:rPr>
          <w:rFonts w:ascii="仿宋_GB2312" w:eastAsia="仿宋_GB2312" w:hAnsi="仿宋" w:cs="宋体" w:hint="eastAsia"/>
          <w:kern w:val="0"/>
          <w:sz w:val="24"/>
          <w:szCs w:val="24"/>
        </w:rPr>
        <w:t>将</w:t>
      </w:r>
      <w:r w:rsidR="008824E6">
        <w:rPr>
          <w:rFonts w:ascii="仿宋_GB2312" w:eastAsia="仿宋_GB2312" w:hAnsi="仿宋" w:cs="宋体" w:hint="eastAsia"/>
          <w:kern w:val="0"/>
          <w:sz w:val="24"/>
          <w:szCs w:val="24"/>
        </w:rPr>
        <w:t>该首个非SPV实体</w:t>
      </w:r>
      <w:r w:rsidR="00892C2A">
        <w:rPr>
          <w:rFonts w:ascii="仿宋_GB2312" w:eastAsia="仿宋_GB2312" w:hAnsi="仿宋" w:cs="宋体" w:hint="eastAsia"/>
          <w:kern w:val="0"/>
          <w:sz w:val="24"/>
          <w:szCs w:val="24"/>
        </w:rPr>
        <w:t>视为</w:t>
      </w:r>
      <w:r w:rsidR="008824E6">
        <w:rPr>
          <w:rFonts w:ascii="仿宋_GB2312" w:eastAsia="仿宋_GB2312" w:hAnsi="仿宋" w:cs="宋体" w:hint="eastAsia"/>
          <w:kern w:val="0"/>
          <w:sz w:val="24"/>
          <w:szCs w:val="24"/>
        </w:rPr>
        <w:t>本机</w:t>
      </w:r>
      <w:r w:rsidR="008824E6">
        <w:rPr>
          <w:rFonts w:ascii="仿宋_GB2312" w:eastAsia="仿宋_GB2312" w:hAnsi="仿宋" w:cs="宋体" w:hint="eastAsia"/>
          <w:kern w:val="0"/>
          <w:sz w:val="24"/>
          <w:szCs w:val="24"/>
        </w:rPr>
        <w:lastRenderedPageBreak/>
        <w:t>构对外直接投资</w:t>
      </w:r>
      <w:r w:rsidR="00892C2A">
        <w:rPr>
          <w:rFonts w:ascii="仿宋_GB2312" w:eastAsia="仿宋_GB2312" w:hAnsi="仿宋" w:cs="宋体" w:hint="eastAsia"/>
          <w:kern w:val="0"/>
          <w:sz w:val="24"/>
          <w:szCs w:val="24"/>
        </w:rPr>
        <w:t>的目的国</w:t>
      </w:r>
      <w:r w:rsidR="00CA2BB5">
        <w:rPr>
          <w:rFonts w:ascii="仿宋_GB2312" w:eastAsia="仿宋_GB2312" w:hAnsi="仿宋" w:cs="宋体" w:hint="eastAsia"/>
          <w:kern w:val="0"/>
          <w:sz w:val="24"/>
          <w:szCs w:val="24"/>
        </w:rPr>
        <w:t>。</w:t>
      </w:r>
    </w:p>
    <w:p w:rsidR="00385414" w:rsidRDefault="00385414" w:rsidP="002D4138">
      <w:pPr>
        <w:spacing w:line="360" w:lineRule="auto"/>
        <w:ind w:firstLineChars="200" w:firstLine="480"/>
        <w:rPr>
          <w:rFonts w:ascii="仿宋_GB2312" w:eastAsia="仿宋_GB2312" w:hAnsi="仿宋" w:cs="宋体"/>
          <w:kern w:val="0"/>
          <w:sz w:val="24"/>
          <w:szCs w:val="24"/>
        </w:rPr>
      </w:pPr>
      <w:r>
        <w:rPr>
          <w:rFonts w:ascii="仿宋_GB2312" w:eastAsia="仿宋_GB2312" w:hAnsi="仿宋" w:cs="宋体" w:hint="eastAsia"/>
          <w:kern w:val="0"/>
          <w:sz w:val="24"/>
          <w:szCs w:val="24"/>
        </w:rPr>
        <w:t>通常，</w:t>
      </w:r>
      <w:r w:rsidR="002D4138">
        <w:rPr>
          <w:rFonts w:ascii="仿宋_GB2312" w:eastAsia="仿宋_GB2312" w:hAnsi="仿宋" w:cs="宋体" w:hint="eastAsia"/>
          <w:kern w:val="0"/>
          <w:sz w:val="24"/>
          <w:szCs w:val="24"/>
        </w:rPr>
        <w:t>特殊目的实体或壳公司</w:t>
      </w:r>
      <w:r>
        <w:rPr>
          <w:rFonts w:ascii="仿宋_GB2312" w:eastAsia="仿宋_GB2312" w:hAnsi="仿宋" w:cs="宋体" w:hint="eastAsia"/>
          <w:kern w:val="0"/>
          <w:sz w:val="24"/>
          <w:szCs w:val="24"/>
        </w:rPr>
        <w:t>具有但不限于以下特征：</w:t>
      </w:r>
    </w:p>
    <w:p w:rsidR="00385414" w:rsidRDefault="00385414" w:rsidP="002D4138">
      <w:pPr>
        <w:spacing w:line="360" w:lineRule="auto"/>
        <w:ind w:firstLineChars="200" w:firstLine="480"/>
        <w:rPr>
          <w:rFonts w:ascii="仿宋_GB2312" w:eastAsia="仿宋_GB2312" w:hAnsi="仿宋" w:cs="宋体"/>
          <w:kern w:val="0"/>
          <w:sz w:val="24"/>
          <w:szCs w:val="24"/>
        </w:rPr>
      </w:pPr>
      <w:r>
        <w:rPr>
          <w:rFonts w:ascii="仿宋_GB2312" w:eastAsia="仿宋_GB2312" w:hAnsi="仿宋" w:cs="宋体" w:hint="eastAsia"/>
          <w:kern w:val="0"/>
          <w:sz w:val="24"/>
          <w:szCs w:val="24"/>
        </w:rPr>
        <w:t>一</w:t>
      </w:r>
      <w:r w:rsidR="002D4138">
        <w:rPr>
          <w:rFonts w:ascii="仿宋_GB2312" w:eastAsia="仿宋_GB2312" w:hAnsi="仿宋" w:cs="宋体" w:hint="eastAsia"/>
          <w:kern w:val="0"/>
          <w:sz w:val="24"/>
          <w:szCs w:val="24"/>
        </w:rPr>
        <w:t>是</w:t>
      </w:r>
      <w:r w:rsidR="00BD1B78">
        <w:rPr>
          <w:rFonts w:ascii="仿宋_GB2312" w:eastAsia="仿宋_GB2312" w:hAnsi="仿宋" w:cs="宋体" w:hint="eastAsia"/>
          <w:kern w:val="0"/>
          <w:sz w:val="24"/>
          <w:szCs w:val="24"/>
        </w:rPr>
        <w:t>其母公司在另一经济体建立的、</w:t>
      </w:r>
      <w:r w:rsidR="002D4138" w:rsidRPr="003666EA">
        <w:rPr>
          <w:rFonts w:ascii="仿宋_GB2312" w:eastAsia="仿宋_GB2312" w:hAnsi="仿宋" w:cs="宋体" w:hint="eastAsia"/>
          <w:kern w:val="0"/>
          <w:sz w:val="24"/>
          <w:szCs w:val="24"/>
        </w:rPr>
        <w:t>无经营或很少有</w:t>
      </w:r>
      <w:r w:rsidR="002D4138">
        <w:rPr>
          <w:rFonts w:ascii="仿宋_GB2312" w:eastAsia="仿宋_GB2312" w:hAnsi="仿宋" w:cs="宋体" w:hint="eastAsia"/>
          <w:kern w:val="0"/>
          <w:sz w:val="24"/>
          <w:szCs w:val="24"/>
        </w:rPr>
        <w:t>经营活动、无雇员或少雇员</w:t>
      </w:r>
      <w:r>
        <w:rPr>
          <w:rFonts w:ascii="仿宋_GB2312" w:eastAsia="仿宋_GB2312" w:hAnsi="仿宋" w:cs="宋体" w:hint="eastAsia"/>
          <w:kern w:val="0"/>
          <w:sz w:val="24"/>
          <w:szCs w:val="24"/>
        </w:rPr>
        <w:t>，甚至于无实体存在</w:t>
      </w:r>
      <w:r w:rsidR="002D4138" w:rsidRPr="003666EA">
        <w:rPr>
          <w:rFonts w:ascii="仿宋_GB2312" w:eastAsia="仿宋_GB2312" w:hAnsi="仿宋" w:cs="宋体" w:hint="eastAsia"/>
          <w:kern w:val="0"/>
          <w:sz w:val="24"/>
          <w:szCs w:val="24"/>
        </w:rPr>
        <w:t>的</w:t>
      </w:r>
      <w:r w:rsidR="002D4138">
        <w:rPr>
          <w:rFonts w:ascii="仿宋_GB2312" w:eastAsia="仿宋_GB2312" w:hAnsi="仿宋" w:cs="宋体" w:hint="eastAsia"/>
          <w:kern w:val="0"/>
          <w:sz w:val="24"/>
          <w:szCs w:val="24"/>
        </w:rPr>
        <w:t>法律实体。</w:t>
      </w:r>
    </w:p>
    <w:p w:rsidR="00385414" w:rsidRDefault="00385414" w:rsidP="002D4138">
      <w:pPr>
        <w:spacing w:line="360" w:lineRule="auto"/>
        <w:ind w:firstLineChars="200" w:firstLine="480"/>
        <w:rPr>
          <w:rFonts w:ascii="仿宋_GB2312" w:eastAsia="仿宋_GB2312" w:hAnsi="仿宋" w:cs="宋体"/>
          <w:kern w:val="0"/>
          <w:sz w:val="24"/>
          <w:szCs w:val="24"/>
        </w:rPr>
      </w:pPr>
      <w:r>
        <w:rPr>
          <w:rFonts w:ascii="仿宋_GB2312" w:eastAsia="仿宋_GB2312" w:hAnsi="仿宋" w:cs="宋体" w:hint="eastAsia"/>
          <w:kern w:val="0"/>
          <w:sz w:val="24"/>
          <w:szCs w:val="24"/>
        </w:rPr>
        <w:t>二是其</w:t>
      </w:r>
      <w:r w:rsidR="00F53ACB">
        <w:rPr>
          <w:rFonts w:ascii="仿宋_GB2312" w:eastAsia="仿宋_GB2312" w:hAnsi="仿宋" w:cs="宋体" w:hint="eastAsia"/>
          <w:kern w:val="0"/>
          <w:sz w:val="24"/>
          <w:szCs w:val="24"/>
        </w:rPr>
        <w:t>与其</w:t>
      </w:r>
      <w:r>
        <w:rPr>
          <w:rFonts w:ascii="仿宋_GB2312" w:eastAsia="仿宋_GB2312" w:hAnsi="仿宋" w:cs="宋体" w:hint="eastAsia"/>
          <w:kern w:val="0"/>
          <w:sz w:val="24"/>
          <w:szCs w:val="24"/>
        </w:rPr>
        <w:t>最终控制方不在同一经济体内。</w:t>
      </w:r>
    </w:p>
    <w:p w:rsidR="00385414" w:rsidRDefault="00385414" w:rsidP="00385414">
      <w:pPr>
        <w:spacing w:line="360" w:lineRule="auto"/>
        <w:ind w:firstLineChars="200" w:firstLine="480"/>
        <w:rPr>
          <w:rFonts w:ascii="仿宋_GB2312" w:eastAsia="仿宋_GB2312" w:hAnsi="仿宋" w:cs="宋体"/>
          <w:kern w:val="0"/>
          <w:sz w:val="24"/>
          <w:szCs w:val="24"/>
        </w:rPr>
      </w:pPr>
      <w:r>
        <w:rPr>
          <w:rFonts w:ascii="仿宋_GB2312" w:eastAsia="仿宋_GB2312" w:hAnsi="仿宋" w:cs="宋体" w:hint="eastAsia"/>
          <w:kern w:val="0"/>
          <w:sz w:val="24"/>
          <w:szCs w:val="24"/>
        </w:rPr>
        <w:t>三是其</w:t>
      </w:r>
      <w:r w:rsidR="00BD1B78">
        <w:rPr>
          <w:rFonts w:ascii="仿宋_GB2312" w:eastAsia="仿宋_GB2312" w:hAnsi="仿宋" w:cs="宋体" w:hint="eastAsia"/>
          <w:kern w:val="0"/>
          <w:sz w:val="24"/>
          <w:szCs w:val="24"/>
        </w:rPr>
        <w:t>主要</w:t>
      </w:r>
      <w:r w:rsidR="00F53ACB">
        <w:rPr>
          <w:rFonts w:ascii="仿宋_GB2312" w:eastAsia="仿宋_GB2312" w:hAnsi="仿宋" w:cs="宋体" w:hint="eastAsia"/>
          <w:kern w:val="0"/>
          <w:sz w:val="24"/>
          <w:szCs w:val="24"/>
        </w:rPr>
        <w:t>是</w:t>
      </w:r>
      <w:r w:rsidR="00BD1B78">
        <w:rPr>
          <w:rFonts w:ascii="仿宋_GB2312" w:eastAsia="仿宋_GB2312" w:hAnsi="仿宋" w:cs="宋体" w:hint="eastAsia"/>
          <w:kern w:val="0"/>
          <w:sz w:val="24"/>
          <w:szCs w:val="24"/>
        </w:rPr>
        <w:t>筹资或持有资产或负债，</w:t>
      </w:r>
      <w:r>
        <w:rPr>
          <w:rFonts w:ascii="仿宋_GB2312" w:eastAsia="仿宋_GB2312" w:hAnsi="仿宋" w:cs="宋体" w:hint="eastAsia"/>
          <w:kern w:val="0"/>
          <w:sz w:val="24"/>
          <w:szCs w:val="24"/>
        </w:rPr>
        <w:t>且</w:t>
      </w:r>
      <w:r w:rsidR="00F53ACB">
        <w:rPr>
          <w:rFonts w:ascii="仿宋_GB2312" w:eastAsia="仿宋_GB2312" w:hAnsi="仿宋" w:cs="宋体" w:hint="eastAsia"/>
          <w:kern w:val="0"/>
          <w:sz w:val="24"/>
          <w:szCs w:val="24"/>
        </w:rPr>
        <w:t>这些</w:t>
      </w:r>
      <w:r>
        <w:rPr>
          <w:rFonts w:ascii="仿宋_GB2312" w:eastAsia="仿宋_GB2312" w:hAnsi="仿宋" w:cs="宋体" w:hint="eastAsia"/>
          <w:kern w:val="0"/>
          <w:sz w:val="24"/>
          <w:szCs w:val="24"/>
        </w:rPr>
        <w:t>资产或负债多半为海外资产或负债。</w:t>
      </w:r>
    </w:p>
    <w:p w:rsidR="002D4138" w:rsidRDefault="00385414" w:rsidP="00385414">
      <w:pPr>
        <w:spacing w:line="360" w:lineRule="auto"/>
        <w:ind w:firstLineChars="200" w:firstLine="480"/>
        <w:rPr>
          <w:rFonts w:ascii="仿宋_GB2312" w:eastAsia="仿宋_GB2312" w:hAnsi="仿宋" w:cs="宋体"/>
          <w:kern w:val="0"/>
          <w:sz w:val="24"/>
          <w:szCs w:val="24"/>
        </w:rPr>
      </w:pPr>
      <w:r>
        <w:rPr>
          <w:rFonts w:ascii="仿宋_GB2312" w:eastAsia="仿宋_GB2312" w:hAnsi="仿宋" w:cs="宋体" w:hint="eastAsia"/>
          <w:kern w:val="0"/>
          <w:sz w:val="24"/>
          <w:szCs w:val="24"/>
        </w:rPr>
        <w:t>四是其</w:t>
      </w:r>
      <w:r w:rsidR="00892C2A">
        <w:rPr>
          <w:rFonts w:ascii="仿宋_GB2312" w:eastAsia="仿宋_GB2312" w:hAnsi="仿宋" w:cs="宋体" w:hint="eastAsia"/>
          <w:kern w:val="0"/>
          <w:sz w:val="24"/>
          <w:szCs w:val="24"/>
        </w:rPr>
        <w:t>一般设立在离岸金融中心，以利用当地</w:t>
      </w:r>
      <w:r w:rsidR="00BD1B78">
        <w:rPr>
          <w:rFonts w:ascii="仿宋_GB2312" w:eastAsia="仿宋_GB2312" w:hAnsi="仿宋" w:cs="宋体" w:hint="eastAsia"/>
          <w:kern w:val="0"/>
          <w:sz w:val="24"/>
          <w:szCs w:val="24"/>
        </w:rPr>
        <w:t>税收、监管</w:t>
      </w:r>
      <w:r w:rsidR="00892C2A">
        <w:rPr>
          <w:rFonts w:ascii="仿宋_GB2312" w:eastAsia="仿宋_GB2312" w:hAnsi="仿宋" w:cs="宋体" w:hint="eastAsia"/>
          <w:kern w:val="0"/>
          <w:sz w:val="24"/>
          <w:szCs w:val="24"/>
        </w:rPr>
        <w:t>等条件</w:t>
      </w:r>
      <w:r w:rsidR="00BD1B78">
        <w:rPr>
          <w:rFonts w:ascii="仿宋_GB2312" w:eastAsia="仿宋_GB2312" w:hAnsi="仿宋" w:cs="宋体" w:hint="eastAsia"/>
          <w:kern w:val="0"/>
          <w:sz w:val="24"/>
          <w:szCs w:val="24"/>
        </w:rPr>
        <w:t>。</w:t>
      </w:r>
    </w:p>
    <w:p w:rsidR="009A0E0A" w:rsidRPr="00012C65" w:rsidRDefault="009A0E0A" w:rsidP="006629EB">
      <w:pPr>
        <w:spacing w:line="360" w:lineRule="auto"/>
        <w:rPr>
          <w:rFonts w:asciiTheme="minorEastAsia" w:hAnsiTheme="minorEastAsia" w:cs="宋体"/>
          <w:kern w:val="0"/>
          <w:sz w:val="24"/>
          <w:szCs w:val="24"/>
        </w:rPr>
      </w:pPr>
    </w:p>
    <w:p w:rsidR="009A0E0A" w:rsidRPr="003666EA" w:rsidRDefault="0081296A"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问题1</w:t>
      </w:r>
      <w:r w:rsidR="003D65AF">
        <w:rPr>
          <w:rFonts w:asciiTheme="minorEastAsia" w:hAnsiTheme="minorEastAsia" w:hint="eastAsia"/>
          <w:b/>
          <w:sz w:val="24"/>
          <w:szCs w:val="24"/>
        </w:rPr>
        <w:t>8</w:t>
      </w:r>
      <w:r w:rsidRPr="003666EA">
        <w:rPr>
          <w:rFonts w:asciiTheme="minorEastAsia" w:hAnsiTheme="minorEastAsia" w:hint="eastAsia"/>
          <w:b/>
          <w:sz w:val="24"/>
          <w:szCs w:val="24"/>
        </w:rPr>
        <w:t>：被投资的非居民如为境外特殊目的实体或壳机构，本条报送数据中“境外被投资机构”名称/国别等相关信息是否应填写被该壳机构实际投资的境外机构信息，而非壳机构信息？</w:t>
      </w:r>
    </w:p>
    <w:p w:rsidR="0081296A" w:rsidRPr="004A2584" w:rsidRDefault="0081296A"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E843BD" w:rsidRPr="00E843BD">
        <w:rPr>
          <w:rFonts w:ascii="仿宋_GB2312" w:eastAsia="仿宋_GB2312" w:hAnsi="仿宋" w:hint="eastAsia"/>
          <w:sz w:val="24"/>
          <w:szCs w:val="24"/>
        </w:rPr>
        <w:t>对外直接投资报表中</w:t>
      </w:r>
      <w:r w:rsidR="00E843BD" w:rsidRPr="00E843BD">
        <w:rPr>
          <w:rFonts w:ascii="仿宋_GB2312" w:eastAsia="仿宋_GB2312" w:hAnsiTheme="minorEastAsia" w:hint="eastAsia"/>
          <w:sz w:val="24"/>
          <w:szCs w:val="24"/>
        </w:rPr>
        <w:t>“</w:t>
      </w:r>
      <w:r w:rsidR="00E843BD" w:rsidRPr="00E843BD">
        <w:rPr>
          <w:rFonts w:ascii="仿宋_GB2312" w:eastAsia="仿宋_GB2312" w:hAnsiTheme="minorEastAsia"/>
          <w:sz w:val="24"/>
          <w:szCs w:val="24"/>
        </w:rPr>
        <w:t>A0101</w:t>
      </w:r>
      <w:r w:rsidR="00085BCB">
        <w:rPr>
          <w:rFonts w:ascii="仿宋_GB2312" w:eastAsia="仿宋_GB2312" w:hAnsiTheme="minorEastAsia" w:hint="eastAsia"/>
          <w:sz w:val="24"/>
          <w:szCs w:val="24"/>
        </w:rPr>
        <w:t>”、“</w:t>
      </w:r>
      <w:r w:rsidR="00E843BD" w:rsidRPr="00E843BD">
        <w:rPr>
          <w:rFonts w:ascii="仿宋_GB2312" w:eastAsia="仿宋_GB2312" w:hAnsiTheme="minorEastAsia"/>
          <w:sz w:val="24"/>
          <w:szCs w:val="24"/>
        </w:rPr>
        <w:t>A0102</w:t>
      </w:r>
      <w:r w:rsidR="00085BCB">
        <w:rPr>
          <w:rFonts w:ascii="仿宋_GB2312" w:eastAsia="仿宋_GB2312" w:hAnsiTheme="minorEastAsia" w:hint="eastAsia"/>
          <w:sz w:val="24"/>
          <w:szCs w:val="24"/>
        </w:rPr>
        <w:t>”和“</w:t>
      </w:r>
      <w:r w:rsidR="00E843BD" w:rsidRPr="00E843BD">
        <w:rPr>
          <w:rFonts w:ascii="仿宋_GB2312" w:eastAsia="仿宋_GB2312" w:hAnsiTheme="minorEastAsia"/>
          <w:sz w:val="24"/>
          <w:szCs w:val="24"/>
        </w:rPr>
        <w:t>A0103</w:t>
      </w:r>
      <w:r w:rsidR="00E843BD" w:rsidRPr="00E843BD">
        <w:rPr>
          <w:rFonts w:ascii="仿宋_GB2312" w:eastAsia="仿宋_GB2312" w:hAnsiTheme="minorEastAsia"/>
          <w:sz w:val="24"/>
          <w:szCs w:val="24"/>
        </w:rPr>
        <w:t>”</w:t>
      </w:r>
      <w:r w:rsidR="00E843BD" w:rsidRPr="00E843BD">
        <w:rPr>
          <w:rFonts w:ascii="仿宋_GB2312" w:eastAsia="仿宋_GB2312" w:hAnsiTheme="minorEastAsia" w:hint="eastAsia"/>
          <w:sz w:val="24"/>
          <w:szCs w:val="24"/>
        </w:rPr>
        <w:t>项应分别填写首个</w:t>
      </w:r>
      <w:r w:rsidR="00E843BD">
        <w:rPr>
          <w:rFonts w:ascii="仿宋_GB2312" w:eastAsia="仿宋_GB2312" w:hAnsi="仿宋" w:cs="宋体" w:hint="eastAsia"/>
          <w:kern w:val="0"/>
          <w:sz w:val="24"/>
          <w:szCs w:val="24"/>
        </w:rPr>
        <w:t>非</w:t>
      </w:r>
      <w:r w:rsidR="00E843BD">
        <w:rPr>
          <w:rFonts w:ascii="仿宋_GB2312" w:eastAsia="仿宋_GB2312" w:hAnsi="仿宋" w:cs="宋体"/>
          <w:kern w:val="0"/>
          <w:sz w:val="24"/>
          <w:szCs w:val="24"/>
        </w:rPr>
        <w:t>SPV实体的代码、名称和</w:t>
      </w:r>
      <w:r w:rsidR="00085BCB">
        <w:rPr>
          <w:rFonts w:ascii="仿宋_GB2312" w:eastAsia="仿宋_GB2312" w:hAnsi="仿宋" w:cs="宋体" w:hint="eastAsia"/>
          <w:kern w:val="0"/>
          <w:sz w:val="24"/>
          <w:szCs w:val="24"/>
        </w:rPr>
        <w:t>所属</w:t>
      </w:r>
      <w:r w:rsidR="00E843BD">
        <w:rPr>
          <w:rFonts w:ascii="仿宋_GB2312" w:eastAsia="仿宋_GB2312" w:hAnsi="仿宋" w:cs="宋体"/>
          <w:kern w:val="0"/>
          <w:sz w:val="24"/>
          <w:szCs w:val="24"/>
        </w:rPr>
        <w:t>国</w:t>
      </w:r>
      <w:r w:rsidR="004A2584">
        <w:rPr>
          <w:rFonts w:ascii="仿宋_GB2312" w:eastAsia="仿宋_GB2312" w:hAnsi="仿宋" w:cs="宋体" w:hint="eastAsia"/>
          <w:kern w:val="0"/>
          <w:sz w:val="24"/>
          <w:szCs w:val="24"/>
        </w:rPr>
        <w:t>家/地区</w:t>
      </w:r>
      <w:r w:rsidR="00E843BD">
        <w:rPr>
          <w:rFonts w:ascii="仿宋_GB2312" w:eastAsia="仿宋_GB2312" w:hAnsi="仿宋" w:hint="eastAsia"/>
          <w:sz w:val="24"/>
          <w:szCs w:val="24"/>
        </w:rPr>
        <w:t>。</w:t>
      </w:r>
      <w:r w:rsidR="004A2584">
        <w:rPr>
          <w:rFonts w:ascii="仿宋_GB2312" w:eastAsia="仿宋_GB2312" w:hAnsi="仿宋" w:hint="eastAsia"/>
          <w:sz w:val="24"/>
          <w:szCs w:val="24"/>
        </w:rPr>
        <w:t>如果在对外直接投资行为是经由境外SPV</w:t>
      </w:r>
      <w:r w:rsidR="00085BCB">
        <w:rPr>
          <w:rFonts w:ascii="仿宋_GB2312" w:eastAsia="仿宋_GB2312" w:hAnsi="仿宋" w:hint="eastAsia"/>
          <w:sz w:val="24"/>
          <w:szCs w:val="24"/>
        </w:rPr>
        <w:t>、</w:t>
      </w:r>
      <w:r w:rsidR="004A2584">
        <w:rPr>
          <w:rFonts w:ascii="仿宋_GB2312" w:eastAsia="仿宋_GB2312" w:hAnsi="仿宋" w:cs="宋体" w:hint="eastAsia"/>
          <w:kern w:val="0"/>
          <w:sz w:val="24"/>
          <w:szCs w:val="24"/>
        </w:rPr>
        <w:t>SP</w:t>
      </w:r>
      <w:r w:rsidR="00085BCB">
        <w:rPr>
          <w:rFonts w:ascii="仿宋_GB2312" w:eastAsia="仿宋_GB2312" w:hAnsi="仿宋" w:cs="宋体" w:hint="eastAsia"/>
          <w:kern w:val="0"/>
          <w:sz w:val="24"/>
          <w:szCs w:val="24"/>
        </w:rPr>
        <w:t>E</w:t>
      </w:r>
      <w:r w:rsidR="004A2584">
        <w:rPr>
          <w:rFonts w:ascii="仿宋_GB2312" w:eastAsia="仿宋_GB2312" w:hAnsi="仿宋" w:cs="宋体" w:hint="eastAsia"/>
          <w:kern w:val="0"/>
          <w:sz w:val="24"/>
          <w:szCs w:val="24"/>
        </w:rPr>
        <w:t>或壳公司进行，则应在A0110中选择“是”，并在A0111中填写境外SPV</w:t>
      </w:r>
      <w:r w:rsidR="00085BCB">
        <w:rPr>
          <w:rFonts w:ascii="仿宋_GB2312" w:eastAsia="仿宋_GB2312" w:hAnsi="仿宋" w:cs="宋体" w:hint="eastAsia"/>
          <w:kern w:val="0"/>
          <w:sz w:val="24"/>
          <w:szCs w:val="24"/>
        </w:rPr>
        <w:t>、SPE</w:t>
      </w:r>
      <w:r w:rsidR="004A2584">
        <w:rPr>
          <w:rFonts w:ascii="仿宋_GB2312" w:eastAsia="仿宋_GB2312" w:hAnsi="仿宋" w:cs="宋体" w:hint="eastAsia"/>
          <w:kern w:val="0"/>
          <w:sz w:val="24"/>
          <w:szCs w:val="24"/>
        </w:rPr>
        <w:t>或壳公司</w:t>
      </w:r>
      <w:r w:rsidR="00085BCB">
        <w:rPr>
          <w:rFonts w:ascii="仿宋_GB2312" w:eastAsia="仿宋_GB2312" w:hAnsi="仿宋" w:cs="宋体" w:hint="eastAsia"/>
          <w:kern w:val="0"/>
          <w:sz w:val="24"/>
          <w:szCs w:val="24"/>
        </w:rPr>
        <w:t>所属</w:t>
      </w:r>
      <w:r w:rsidR="004A2584" w:rsidRPr="004A2584">
        <w:rPr>
          <w:rFonts w:ascii="仿宋_GB2312" w:eastAsia="仿宋_GB2312" w:hAnsi="仿宋" w:cs="宋体" w:hint="eastAsia"/>
          <w:kern w:val="0"/>
          <w:sz w:val="24"/>
          <w:szCs w:val="24"/>
        </w:rPr>
        <w:t>国</w:t>
      </w:r>
      <w:r w:rsidR="004A2584">
        <w:rPr>
          <w:rFonts w:ascii="仿宋_GB2312" w:eastAsia="仿宋_GB2312" w:hAnsi="仿宋" w:cs="宋体" w:hint="eastAsia"/>
          <w:kern w:val="0"/>
          <w:sz w:val="24"/>
          <w:szCs w:val="24"/>
        </w:rPr>
        <w:t>家/地区。</w:t>
      </w:r>
    </w:p>
    <w:p w:rsidR="00BB0349" w:rsidRPr="003666EA" w:rsidRDefault="00BB0349" w:rsidP="003666EA">
      <w:pPr>
        <w:spacing w:line="360" w:lineRule="auto"/>
        <w:ind w:firstLineChars="200" w:firstLine="480"/>
        <w:rPr>
          <w:rFonts w:asciiTheme="minorEastAsia" w:hAnsiTheme="minorEastAsia"/>
          <w:sz w:val="24"/>
          <w:szCs w:val="24"/>
        </w:rPr>
      </w:pPr>
    </w:p>
    <w:p w:rsidR="00BB0349" w:rsidRPr="003666EA" w:rsidRDefault="00BB0349"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问题1</w:t>
      </w:r>
      <w:r w:rsidR="003D65AF">
        <w:rPr>
          <w:rFonts w:asciiTheme="minorEastAsia" w:hAnsiTheme="minorEastAsia" w:hint="eastAsia"/>
          <w:b/>
          <w:sz w:val="24"/>
          <w:szCs w:val="24"/>
        </w:rPr>
        <w:t>9</w:t>
      </w:r>
      <w:r w:rsidRPr="003666EA">
        <w:rPr>
          <w:rFonts w:asciiTheme="minorEastAsia" w:hAnsiTheme="minorEastAsia" w:hint="eastAsia"/>
          <w:b/>
          <w:sz w:val="24"/>
          <w:szCs w:val="24"/>
        </w:rPr>
        <w:t>：A01表和A02表中申报主体包括境内外商投资企业和境外直接投资企业吗？企业直接投资或吸收投资是由哪个机构代为报送？</w:t>
      </w:r>
    </w:p>
    <w:p w:rsidR="00EF1DF9" w:rsidRPr="004A2584" w:rsidRDefault="00BB0349"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EF1DF9" w:rsidRPr="003666EA">
        <w:rPr>
          <w:rFonts w:ascii="仿宋_GB2312" w:eastAsia="仿宋_GB2312" w:hAnsi="仿宋" w:hint="eastAsia"/>
          <w:sz w:val="24"/>
          <w:szCs w:val="24"/>
        </w:rPr>
        <w:t>首先，</w:t>
      </w:r>
      <w:r w:rsidR="004A2584">
        <w:rPr>
          <w:rFonts w:ascii="仿宋_GB2312" w:eastAsia="仿宋_GB2312" w:hAnsi="仿宋" w:hint="eastAsia"/>
          <w:sz w:val="24"/>
          <w:szCs w:val="24"/>
        </w:rPr>
        <w:t>本套报表均由境内居民机构负责报送或代为报送。具体到A表，</w:t>
      </w:r>
      <w:r w:rsidR="00EF1DF9" w:rsidRPr="003666EA">
        <w:rPr>
          <w:rFonts w:ascii="仿宋_GB2312" w:eastAsia="仿宋_GB2312" w:hAnsi="仿宋" w:hint="eastAsia"/>
          <w:sz w:val="24"/>
          <w:szCs w:val="24"/>
        </w:rPr>
        <w:t>目前，在境内的主营业务是非金融业活动的境内外商投资企业和对外投资者不参与此报表报送。有关金融业或非金融业的划分参见汇发[2014]18号文的7.4和7.5节。</w:t>
      </w:r>
    </w:p>
    <w:p w:rsidR="00843325" w:rsidRPr="003666EA" w:rsidRDefault="00EF1DF9"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其次，</w:t>
      </w:r>
      <w:r w:rsidR="00867559" w:rsidRPr="003666EA">
        <w:rPr>
          <w:rFonts w:ascii="仿宋_GB2312" w:eastAsia="仿宋_GB2312" w:hAnsi="仿宋" w:hint="eastAsia"/>
          <w:sz w:val="24"/>
          <w:szCs w:val="24"/>
        </w:rPr>
        <w:t>主营业务为</w:t>
      </w:r>
      <w:r w:rsidR="00843325" w:rsidRPr="003666EA">
        <w:rPr>
          <w:rFonts w:ascii="仿宋_GB2312" w:eastAsia="仿宋_GB2312" w:hAnsi="仿宋" w:hint="eastAsia"/>
          <w:sz w:val="24"/>
          <w:szCs w:val="24"/>
        </w:rPr>
        <w:t>金融业活动的境内</w:t>
      </w:r>
      <w:r w:rsidR="00727914">
        <w:rPr>
          <w:rFonts w:ascii="仿宋_GB2312" w:eastAsia="仿宋_GB2312" w:hAnsi="仿宋" w:hint="eastAsia"/>
          <w:sz w:val="24"/>
          <w:szCs w:val="24"/>
        </w:rPr>
        <w:t>外商投资企业</w:t>
      </w:r>
      <w:r w:rsidR="00843325" w:rsidRPr="003666EA">
        <w:rPr>
          <w:rFonts w:ascii="仿宋_GB2312" w:eastAsia="仿宋_GB2312" w:hAnsi="仿宋" w:hint="eastAsia"/>
          <w:sz w:val="24"/>
          <w:szCs w:val="24"/>
        </w:rPr>
        <w:t>和在境外开展直接投资活动的境内</w:t>
      </w:r>
      <w:r w:rsidR="00727914">
        <w:rPr>
          <w:rFonts w:ascii="仿宋_GB2312" w:eastAsia="仿宋_GB2312" w:hAnsi="仿宋" w:hint="eastAsia"/>
          <w:sz w:val="24"/>
          <w:szCs w:val="24"/>
        </w:rPr>
        <w:t>投资者</w:t>
      </w:r>
      <w:r w:rsidR="00843325" w:rsidRPr="003666EA">
        <w:rPr>
          <w:rFonts w:ascii="仿宋_GB2312" w:eastAsia="仿宋_GB2312" w:hAnsi="仿宋" w:hint="eastAsia"/>
          <w:sz w:val="24"/>
          <w:szCs w:val="24"/>
        </w:rPr>
        <w:t>应报送自身直接投资信息。其中：</w:t>
      </w:r>
    </w:p>
    <w:p w:rsidR="00843325" w:rsidRPr="003666EA" w:rsidRDefault="00843325"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被境外投资者持有10%及以上表决权的境内金融机构或其他指定主体应按照A02表要求报送本机构资产负债表、市值及相关流量数据。</w:t>
      </w:r>
    </w:p>
    <w:p w:rsidR="00843325" w:rsidRPr="003666EA" w:rsidRDefault="00843325"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在境外开展直接投资活动的境内金融机构或其他指定主体应按照A01表要求</w:t>
      </w:r>
      <w:r w:rsidR="0050326E">
        <w:rPr>
          <w:rFonts w:ascii="仿宋_GB2312" w:eastAsia="仿宋_GB2312" w:hAnsi="仿宋" w:hint="eastAsia"/>
          <w:sz w:val="24"/>
          <w:szCs w:val="24"/>
        </w:rPr>
        <w:t>报送</w:t>
      </w:r>
      <w:r w:rsidRPr="003666EA">
        <w:rPr>
          <w:rFonts w:ascii="仿宋_GB2312" w:eastAsia="仿宋_GB2312" w:hAnsi="仿宋" w:hint="eastAsia"/>
          <w:sz w:val="24"/>
          <w:szCs w:val="24"/>
        </w:rPr>
        <w:t>其在境外的直接投资机构</w:t>
      </w:r>
      <w:r w:rsidR="0050326E">
        <w:rPr>
          <w:rFonts w:ascii="仿宋_GB2312" w:eastAsia="仿宋_GB2312" w:hAnsi="仿宋" w:hint="eastAsia"/>
          <w:sz w:val="24"/>
          <w:szCs w:val="24"/>
        </w:rPr>
        <w:t>的</w:t>
      </w:r>
      <w:r w:rsidRPr="003666EA">
        <w:rPr>
          <w:rFonts w:ascii="仿宋_GB2312" w:eastAsia="仿宋_GB2312" w:hAnsi="仿宋" w:hint="eastAsia"/>
          <w:sz w:val="24"/>
          <w:szCs w:val="24"/>
        </w:rPr>
        <w:t>资产负债表、市值及</w:t>
      </w:r>
      <w:r w:rsidR="0050326E">
        <w:rPr>
          <w:rFonts w:ascii="仿宋_GB2312" w:eastAsia="仿宋_GB2312" w:hAnsi="仿宋" w:hint="eastAsia"/>
          <w:sz w:val="24"/>
          <w:szCs w:val="24"/>
        </w:rPr>
        <w:t>本机构投资的</w:t>
      </w:r>
      <w:r w:rsidRPr="003666EA">
        <w:rPr>
          <w:rFonts w:ascii="仿宋_GB2312" w:eastAsia="仿宋_GB2312" w:hAnsi="仿宋" w:hint="eastAsia"/>
          <w:sz w:val="24"/>
          <w:szCs w:val="24"/>
        </w:rPr>
        <w:t>股权流量</w:t>
      </w:r>
      <w:r w:rsidR="00727914">
        <w:rPr>
          <w:rFonts w:ascii="仿宋_GB2312" w:eastAsia="仿宋_GB2312" w:hAnsi="仿宋" w:hint="eastAsia"/>
          <w:sz w:val="24"/>
          <w:szCs w:val="24"/>
        </w:rPr>
        <w:t>数</w:t>
      </w:r>
      <w:r w:rsidR="00727914">
        <w:rPr>
          <w:rFonts w:ascii="仿宋_GB2312" w:eastAsia="仿宋_GB2312" w:hAnsi="仿宋" w:hint="eastAsia"/>
          <w:sz w:val="24"/>
          <w:szCs w:val="24"/>
        </w:rPr>
        <w:lastRenderedPageBreak/>
        <w:t>据</w:t>
      </w:r>
      <w:r w:rsidRPr="003666EA">
        <w:rPr>
          <w:rFonts w:ascii="仿宋_GB2312" w:eastAsia="仿宋_GB2312" w:hAnsi="仿宋" w:hint="eastAsia"/>
          <w:sz w:val="24"/>
          <w:szCs w:val="24"/>
        </w:rPr>
        <w:t>。</w:t>
      </w:r>
    </w:p>
    <w:p w:rsidR="00843325" w:rsidRPr="003666EA" w:rsidRDefault="00843325" w:rsidP="003666EA">
      <w:pPr>
        <w:spacing w:line="360" w:lineRule="auto"/>
        <w:ind w:firstLineChars="200" w:firstLine="480"/>
        <w:rPr>
          <w:rFonts w:asciiTheme="minorEastAsia" w:hAnsiTheme="minorEastAsia"/>
          <w:sz w:val="24"/>
          <w:szCs w:val="24"/>
        </w:rPr>
      </w:pPr>
    </w:p>
    <w:p w:rsidR="006C433F" w:rsidRPr="003666EA" w:rsidRDefault="006C433F" w:rsidP="006629EB">
      <w:pPr>
        <w:spacing w:line="360" w:lineRule="auto"/>
        <w:rPr>
          <w:rFonts w:asciiTheme="minorEastAsia" w:hAnsiTheme="minorEastAsia"/>
          <w:sz w:val="24"/>
          <w:szCs w:val="24"/>
        </w:rPr>
      </w:pPr>
      <w:r w:rsidRPr="003666EA">
        <w:rPr>
          <w:rFonts w:asciiTheme="minorEastAsia" w:hAnsiTheme="minorEastAsia" w:hint="eastAsia"/>
          <w:b/>
          <w:sz w:val="24"/>
          <w:szCs w:val="24"/>
        </w:rPr>
        <w:t>问题</w:t>
      </w:r>
      <w:r w:rsidR="003D65AF">
        <w:rPr>
          <w:rFonts w:asciiTheme="minorEastAsia" w:hAnsiTheme="minorEastAsia" w:hint="eastAsia"/>
          <w:b/>
          <w:sz w:val="24"/>
          <w:szCs w:val="24"/>
        </w:rPr>
        <w:t>20</w:t>
      </w:r>
      <w:r w:rsidRPr="003666EA">
        <w:rPr>
          <w:rFonts w:asciiTheme="minorEastAsia" w:hAnsiTheme="minorEastAsia" w:hint="eastAsia"/>
          <w:b/>
          <w:sz w:val="24"/>
          <w:szCs w:val="24"/>
        </w:rPr>
        <w:t>：A01</w:t>
      </w:r>
      <w:r w:rsidR="002A44F9" w:rsidRPr="003666EA">
        <w:rPr>
          <w:rFonts w:asciiTheme="minorEastAsia" w:hAnsiTheme="minorEastAsia" w:hint="eastAsia"/>
          <w:b/>
          <w:sz w:val="24"/>
          <w:szCs w:val="24"/>
        </w:rPr>
        <w:t>指明，</w:t>
      </w:r>
      <w:r w:rsidRPr="003666EA">
        <w:rPr>
          <w:rFonts w:asciiTheme="minorEastAsia" w:hAnsiTheme="minorEastAsia" w:hint="eastAsia"/>
          <w:b/>
          <w:sz w:val="24"/>
          <w:szCs w:val="24"/>
        </w:rPr>
        <w:t>报表填报在本统计期初或期末，跨境持有一机构表决权</w:t>
      </w:r>
      <w:r w:rsidR="002D1933" w:rsidRPr="003666EA">
        <w:rPr>
          <w:rFonts w:asciiTheme="minorEastAsia" w:hAnsiTheme="minorEastAsia" w:hint="eastAsia"/>
          <w:b/>
          <w:sz w:val="24"/>
          <w:szCs w:val="24"/>
        </w:rPr>
        <w:t>≥</w:t>
      </w:r>
      <w:r w:rsidRPr="003666EA">
        <w:rPr>
          <w:rFonts w:asciiTheme="minorEastAsia" w:hAnsiTheme="minorEastAsia" w:hint="eastAsia"/>
          <w:b/>
          <w:sz w:val="24"/>
          <w:szCs w:val="24"/>
        </w:rPr>
        <w:t>10%的情况。期初的概念是什么？如1月底本机构跨境持有一机构表决权小于10%，2月份增资超</w:t>
      </w:r>
      <w:r w:rsidR="002A44F9" w:rsidRPr="003666EA">
        <w:rPr>
          <w:rFonts w:asciiTheme="minorEastAsia" w:hAnsiTheme="minorEastAsia" w:hint="eastAsia"/>
          <w:b/>
          <w:sz w:val="24"/>
          <w:szCs w:val="24"/>
        </w:rPr>
        <w:t>过</w:t>
      </w:r>
      <w:r w:rsidRPr="003666EA">
        <w:rPr>
          <w:rFonts w:asciiTheme="minorEastAsia" w:hAnsiTheme="minorEastAsia" w:hint="eastAsia"/>
          <w:b/>
          <w:sz w:val="24"/>
          <w:szCs w:val="24"/>
        </w:rPr>
        <w:t>了10%，2月底又减资</w:t>
      </w:r>
      <w:r w:rsidR="00727914">
        <w:rPr>
          <w:rFonts w:asciiTheme="minorEastAsia" w:hAnsiTheme="minorEastAsia" w:hint="eastAsia"/>
          <w:b/>
          <w:sz w:val="24"/>
          <w:szCs w:val="24"/>
        </w:rPr>
        <w:t>到</w:t>
      </w:r>
      <w:r w:rsidRPr="003666EA">
        <w:rPr>
          <w:rFonts w:asciiTheme="minorEastAsia" w:hAnsiTheme="minorEastAsia" w:hint="eastAsia"/>
          <w:b/>
          <w:sz w:val="24"/>
          <w:szCs w:val="24"/>
        </w:rPr>
        <w:t>小于10%，3月10日前报送</w:t>
      </w:r>
      <w:r w:rsidR="002D1933" w:rsidRPr="003666EA">
        <w:rPr>
          <w:rFonts w:asciiTheme="minorEastAsia" w:hAnsiTheme="minorEastAsia" w:hint="eastAsia"/>
          <w:b/>
          <w:sz w:val="24"/>
          <w:szCs w:val="24"/>
        </w:rPr>
        <w:t>2月</w:t>
      </w:r>
      <w:r w:rsidRPr="003666EA">
        <w:rPr>
          <w:rFonts w:asciiTheme="minorEastAsia" w:hAnsiTheme="minorEastAsia" w:hint="eastAsia"/>
          <w:b/>
          <w:sz w:val="24"/>
          <w:szCs w:val="24"/>
        </w:rPr>
        <w:t>报表时，应报送A</w:t>
      </w:r>
      <w:r w:rsidR="0050326E">
        <w:rPr>
          <w:rFonts w:asciiTheme="minorEastAsia" w:hAnsiTheme="minorEastAsia" w:hint="eastAsia"/>
          <w:b/>
          <w:sz w:val="24"/>
          <w:szCs w:val="24"/>
        </w:rPr>
        <w:t>01</w:t>
      </w:r>
      <w:r w:rsidRPr="003666EA">
        <w:rPr>
          <w:rFonts w:asciiTheme="minorEastAsia" w:hAnsiTheme="minorEastAsia" w:hint="eastAsia"/>
          <w:b/>
          <w:sz w:val="24"/>
          <w:szCs w:val="24"/>
        </w:rPr>
        <w:t>表还是B</w:t>
      </w:r>
      <w:r w:rsidR="0050326E">
        <w:rPr>
          <w:rFonts w:asciiTheme="minorEastAsia" w:hAnsiTheme="minorEastAsia" w:hint="eastAsia"/>
          <w:b/>
          <w:sz w:val="24"/>
          <w:szCs w:val="24"/>
        </w:rPr>
        <w:t>01</w:t>
      </w:r>
      <w:r w:rsidRPr="003666EA">
        <w:rPr>
          <w:rFonts w:asciiTheme="minorEastAsia" w:hAnsiTheme="minorEastAsia" w:hint="eastAsia"/>
          <w:b/>
          <w:sz w:val="24"/>
          <w:szCs w:val="24"/>
        </w:rPr>
        <w:t>表？</w:t>
      </w:r>
    </w:p>
    <w:p w:rsidR="00E373E6" w:rsidRPr="003666EA" w:rsidRDefault="006C433F"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C96A8F" w:rsidRPr="003666EA">
        <w:rPr>
          <w:rFonts w:ascii="仿宋_GB2312" w:eastAsia="仿宋_GB2312" w:hAnsi="仿宋" w:hint="eastAsia"/>
          <w:sz w:val="24"/>
          <w:szCs w:val="24"/>
        </w:rPr>
        <w:t>首先，</w:t>
      </w:r>
      <w:r w:rsidR="00E373E6" w:rsidRPr="003666EA">
        <w:rPr>
          <w:rFonts w:ascii="仿宋_GB2312" w:eastAsia="仿宋_GB2312" w:hAnsi="仿宋" w:hint="eastAsia"/>
          <w:sz w:val="24"/>
          <w:szCs w:val="24"/>
        </w:rPr>
        <w:t>“本统计期”</w:t>
      </w:r>
      <w:r w:rsidR="001818FF" w:rsidRPr="003666EA">
        <w:rPr>
          <w:rFonts w:ascii="仿宋_GB2312" w:eastAsia="仿宋_GB2312" w:hAnsi="仿宋" w:hint="eastAsia"/>
          <w:sz w:val="24"/>
          <w:szCs w:val="24"/>
        </w:rPr>
        <w:t>是</w:t>
      </w:r>
      <w:r w:rsidR="00E373E6" w:rsidRPr="003666EA">
        <w:rPr>
          <w:rFonts w:ascii="仿宋_GB2312" w:eastAsia="仿宋_GB2312" w:hAnsi="仿宋" w:hint="eastAsia"/>
          <w:sz w:val="24"/>
          <w:szCs w:val="24"/>
        </w:rPr>
        <w:t>指各项</w:t>
      </w:r>
      <w:r w:rsidR="001818FF" w:rsidRPr="003666EA">
        <w:rPr>
          <w:rFonts w:ascii="仿宋_GB2312" w:eastAsia="仿宋_GB2312" w:hAnsi="仿宋" w:hint="eastAsia"/>
          <w:sz w:val="24"/>
          <w:szCs w:val="24"/>
        </w:rPr>
        <w:t>涉外</w:t>
      </w:r>
      <w:r w:rsidR="00E373E6" w:rsidRPr="003666EA">
        <w:rPr>
          <w:rFonts w:ascii="仿宋_GB2312" w:eastAsia="仿宋_GB2312" w:hAnsi="仿宋" w:hint="eastAsia"/>
          <w:sz w:val="24"/>
          <w:szCs w:val="24"/>
        </w:rPr>
        <w:t>交易发生或</w:t>
      </w:r>
      <w:r w:rsidR="0038616A">
        <w:rPr>
          <w:rFonts w:ascii="仿宋_GB2312" w:eastAsia="仿宋_GB2312" w:hAnsi="仿宋" w:hint="eastAsia"/>
          <w:sz w:val="24"/>
          <w:szCs w:val="24"/>
        </w:rPr>
        <w:t>有</w:t>
      </w:r>
      <w:r w:rsidR="00E373E6" w:rsidRPr="003666EA">
        <w:rPr>
          <w:rFonts w:ascii="仿宋_GB2312" w:eastAsia="仿宋_GB2312" w:hAnsi="仿宋" w:hint="eastAsia"/>
          <w:sz w:val="24"/>
          <w:szCs w:val="24"/>
        </w:rPr>
        <w:t>对外金融资产负债</w:t>
      </w:r>
      <w:r w:rsidR="0038616A">
        <w:rPr>
          <w:rFonts w:ascii="仿宋_GB2312" w:eastAsia="仿宋_GB2312" w:hAnsi="仿宋" w:hint="eastAsia"/>
          <w:sz w:val="24"/>
          <w:szCs w:val="24"/>
        </w:rPr>
        <w:t>存量</w:t>
      </w:r>
      <w:r w:rsidR="00E373E6" w:rsidRPr="003666EA">
        <w:rPr>
          <w:rFonts w:ascii="仿宋_GB2312" w:eastAsia="仿宋_GB2312" w:hAnsi="仿宋" w:hint="eastAsia"/>
          <w:sz w:val="24"/>
          <w:szCs w:val="24"/>
        </w:rPr>
        <w:t>的月度。如本统计期为1月</w:t>
      </w:r>
      <w:r w:rsidR="001818FF" w:rsidRPr="003666EA">
        <w:rPr>
          <w:rFonts w:ascii="仿宋_GB2312" w:eastAsia="仿宋_GB2312" w:hAnsi="仿宋" w:hint="eastAsia"/>
          <w:sz w:val="24"/>
          <w:szCs w:val="24"/>
        </w:rPr>
        <w:t>的</w:t>
      </w:r>
      <w:r w:rsidR="00E373E6" w:rsidRPr="003666EA">
        <w:rPr>
          <w:rFonts w:ascii="仿宋_GB2312" w:eastAsia="仿宋_GB2312" w:hAnsi="仿宋" w:hint="eastAsia"/>
          <w:sz w:val="24"/>
          <w:szCs w:val="24"/>
        </w:rPr>
        <w:t>，统计的是1月1日-1月31日发生的交易以及1月31日的对外金融资产负债存量</w:t>
      </w:r>
      <w:r w:rsidR="001818FF" w:rsidRPr="003666EA">
        <w:rPr>
          <w:rFonts w:ascii="仿宋_GB2312" w:eastAsia="仿宋_GB2312" w:hAnsi="仿宋" w:hint="eastAsia"/>
          <w:sz w:val="24"/>
          <w:szCs w:val="24"/>
        </w:rPr>
        <w:t>，也就是通常说的1月报表</w:t>
      </w:r>
      <w:r w:rsidR="002F63B5" w:rsidRPr="003666EA">
        <w:rPr>
          <w:rFonts w:ascii="仿宋_GB2312" w:eastAsia="仿宋_GB2312" w:hAnsi="仿宋" w:hint="eastAsia"/>
          <w:sz w:val="24"/>
          <w:szCs w:val="24"/>
        </w:rPr>
        <w:t>（数据）</w:t>
      </w:r>
      <w:r w:rsidR="00E373E6" w:rsidRPr="003666EA">
        <w:rPr>
          <w:rFonts w:ascii="仿宋_GB2312" w:eastAsia="仿宋_GB2312" w:hAnsi="仿宋" w:hint="eastAsia"/>
          <w:sz w:val="24"/>
          <w:szCs w:val="24"/>
        </w:rPr>
        <w:t>。1月报表</w:t>
      </w:r>
      <w:r w:rsidR="002F63B5" w:rsidRPr="003666EA">
        <w:rPr>
          <w:rFonts w:ascii="仿宋_GB2312" w:eastAsia="仿宋_GB2312" w:hAnsi="仿宋" w:hint="eastAsia"/>
          <w:sz w:val="24"/>
          <w:szCs w:val="24"/>
        </w:rPr>
        <w:t>（数据）</w:t>
      </w:r>
      <w:r w:rsidR="00E373E6" w:rsidRPr="003666EA">
        <w:rPr>
          <w:rFonts w:ascii="仿宋_GB2312" w:eastAsia="仿宋_GB2312" w:hAnsi="仿宋" w:hint="eastAsia"/>
          <w:sz w:val="24"/>
          <w:szCs w:val="24"/>
        </w:rPr>
        <w:t>应于2月10日前完成报送。</w:t>
      </w:r>
      <w:r w:rsidR="001818FF" w:rsidRPr="003666EA">
        <w:rPr>
          <w:rFonts w:ascii="仿宋_GB2312" w:eastAsia="仿宋_GB2312" w:hAnsi="仿宋" w:hint="eastAsia"/>
          <w:sz w:val="24"/>
          <w:szCs w:val="24"/>
        </w:rPr>
        <w:t>其他各月报表</w:t>
      </w:r>
      <w:r w:rsidR="002F63B5" w:rsidRPr="003666EA">
        <w:rPr>
          <w:rFonts w:ascii="仿宋_GB2312" w:eastAsia="仿宋_GB2312" w:hAnsi="仿宋" w:hint="eastAsia"/>
          <w:sz w:val="24"/>
          <w:szCs w:val="24"/>
        </w:rPr>
        <w:t>（</w:t>
      </w:r>
      <w:r w:rsidR="001818FF" w:rsidRPr="003666EA">
        <w:rPr>
          <w:rFonts w:ascii="仿宋_GB2312" w:eastAsia="仿宋_GB2312" w:hAnsi="仿宋" w:hint="eastAsia"/>
          <w:sz w:val="24"/>
          <w:szCs w:val="24"/>
        </w:rPr>
        <w:t>数据</w:t>
      </w:r>
      <w:r w:rsidR="002F63B5" w:rsidRPr="003666EA">
        <w:rPr>
          <w:rFonts w:ascii="仿宋_GB2312" w:eastAsia="仿宋_GB2312" w:hAnsi="仿宋" w:hint="eastAsia"/>
          <w:sz w:val="24"/>
          <w:szCs w:val="24"/>
        </w:rPr>
        <w:t>）</w:t>
      </w:r>
      <w:r w:rsidR="001818FF" w:rsidRPr="003666EA">
        <w:rPr>
          <w:rFonts w:ascii="仿宋_GB2312" w:eastAsia="仿宋_GB2312" w:hAnsi="仿宋" w:hint="eastAsia"/>
          <w:sz w:val="24"/>
          <w:szCs w:val="24"/>
        </w:rPr>
        <w:t>以此类推。</w:t>
      </w:r>
    </w:p>
    <w:p w:rsidR="00C96A8F" w:rsidRPr="003666EA" w:rsidRDefault="00E373E6"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其次，</w:t>
      </w:r>
      <w:r w:rsidR="002A44F9" w:rsidRPr="003666EA">
        <w:rPr>
          <w:rFonts w:ascii="仿宋_GB2312" w:eastAsia="仿宋_GB2312" w:hAnsi="仿宋" w:hint="eastAsia"/>
          <w:sz w:val="24"/>
          <w:szCs w:val="24"/>
        </w:rPr>
        <w:t>期初即上月末。</w:t>
      </w:r>
      <w:r w:rsidR="00372297" w:rsidRPr="003666EA">
        <w:rPr>
          <w:rFonts w:ascii="仿宋_GB2312" w:eastAsia="仿宋_GB2312" w:hAnsi="仿宋" w:hint="eastAsia"/>
          <w:sz w:val="24"/>
          <w:szCs w:val="24"/>
        </w:rPr>
        <w:t>当上月末或本月末，境内机构跨境持有境外一家机构表决权大于等于10%时，相关流量和存量均应纳入A表统计。以下为相关例子：</w:t>
      </w:r>
    </w:p>
    <w:p w:rsidR="00C96A8F" w:rsidRPr="003666EA" w:rsidRDefault="002A44F9"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如果1月底本机构跨境持有</w:t>
      </w:r>
      <w:r w:rsidR="00C37E9D" w:rsidRPr="003666EA">
        <w:rPr>
          <w:rFonts w:ascii="仿宋_GB2312" w:eastAsia="仿宋_GB2312" w:hAnsi="仿宋" w:hint="eastAsia"/>
          <w:sz w:val="24"/>
          <w:szCs w:val="24"/>
        </w:rPr>
        <w:t>境外</w:t>
      </w:r>
      <w:r w:rsidRPr="003666EA">
        <w:rPr>
          <w:rFonts w:ascii="仿宋_GB2312" w:eastAsia="仿宋_GB2312" w:hAnsi="仿宋" w:hint="eastAsia"/>
          <w:sz w:val="24"/>
          <w:szCs w:val="24"/>
        </w:rPr>
        <w:t>机构表决权小于10%，应</w:t>
      </w:r>
      <w:r w:rsidR="00170EC6" w:rsidRPr="003666EA">
        <w:rPr>
          <w:rFonts w:ascii="仿宋_GB2312" w:eastAsia="仿宋_GB2312" w:hAnsi="仿宋" w:hint="eastAsia"/>
          <w:sz w:val="24"/>
          <w:szCs w:val="24"/>
        </w:rPr>
        <w:t>在报送</w:t>
      </w:r>
      <w:r w:rsidR="00C37E9D" w:rsidRPr="003666EA">
        <w:rPr>
          <w:rFonts w:ascii="仿宋_GB2312" w:eastAsia="仿宋_GB2312" w:hAnsi="仿宋" w:hint="eastAsia"/>
          <w:sz w:val="24"/>
          <w:szCs w:val="24"/>
        </w:rPr>
        <w:t>1月</w:t>
      </w:r>
      <w:r w:rsidR="00170EC6" w:rsidRPr="003666EA">
        <w:rPr>
          <w:rFonts w:ascii="仿宋_GB2312" w:eastAsia="仿宋_GB2312" w:hAnsi="仿宋" w:hint="eastAsia"/>
          <w:sz w:val="24"/>
          <w:szCs w:val="24"/>
        </w:rPr>
        <w:t>报表时纳入</w:t>
      </w:r>
      <w:r w:rsidRPr="003666EA">
        <w:rPr>
          <w:rFonts w:ascii="仿宋_GB2312" w:eastAsia="仿宋_GB2312" w:hAnsi="仿宋" w:hint="eastAsia"/>
          <w:sz w:val="24"/>
          <w:szCs w:val="24"/>
        </w:rPr>
        <w:t>B</w:t>
      </w:r>
      <w:r w:rsidR="00B35CAC">
        <w:rPr>
          <w:rFonts w:ascii="仿宋_GB2312" w:eastAsia="仿宋_GB2312" w:hAnsi="仿宋" w:hint="eastAsia"/>
          <w:sz w:val="24"/>
          <w:szCs w:val="24"/>
        </w:rPr>
        <w:t>01</w:t>
      </w:r>
      <w:r w:rsidRPr="003666EA">
        <w:rPr>
          <w:rFonts w:ascii="仿宋_GB2312" w:eastAsia="仿宋_GB2312" w:hAnsi="仿宋" w:hint="eastAsia"/>
          <w:sz w:val="24"/>
          <w:szCs w:val="24"/>
        </w:rPr>
        <w:t>表统计。</w:t>
      </w:r>
    </w:p>
    <w:p w:rsidR="00C96A8F" w:rsidRPr="003666EA" w:rsidRDefault="00C96A8F"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w:t>
      </w:r>
      <w:r w:rsidR="002A44F9" w:rsidRPr="003666EA">
        <w:rPr>
          <w:rFonts w:ascii="仿宋_GB2312" w:eastAsia="仿宋_GB2312" w:hAnsi="仿宋" w:hint="eastAsia"/>
          <w:sz w:val="24"/>
          <w:szCs w:val="24"/>
        </w:rPr>
        <w:t>2月增资后又减资，</w:t>
      </w:r>
      <w:r w:rsidRPr="003666EA">
        <w:rPr>
          <w:rFonts w:ascii="仿宋_GB2312" w:eastAsia="仿宋_GB2312" w:hAnsi="仿宋" w:hint="eastAsia"/>
          <w:sz w:val="24"/>
          <w:szCs w:val="24"/>
        </w:rPr>
        <w:t>2</w:t>
      </w:r>
      <w:r w:rsidR="002A44F9" w:rsidRPr="003666EA">
        <w:rPr>
          <w:rFonts w:ascii="仿宋_GB2312" w:eastAsia="仿宋_GB2312" w:hAnsi="仿宋" w:hint="eastAsia"/>
          <w:sz w:val="24"/>
          <w:szCs w:val="24"/>
        </w:rPr>
        <w:t>月末持有表决权比例小于10%，</w:t>
      </w:r>
      <w:r w:rsidRPr="003666EA">
        <w:rPr>
          <w:rFonts w:ascii="仿宋_GB2312" w:eastAsia="仿宋_GB2312" w:hAnsi="仿宋" w:hint="eastAsia"/>
          <w:sz w:val="24"/>
          <w:szCs w:val="24"/>
        </w:rPr>
        <w:t>考虑到是在一个月之内频繁买卖股权，</w:t>
      </w:r>
      <w:r w:rsidR="00372297" w:rsidRPr="003666EA">
        <w:rPr>
          <w:rFonts w:ascii="仿宋_GB2312" w:eastAsia="仿宋_GB2312" w:hAnsi="仿宋" w:hint="eastAsia"/>
          <w:sz w:val="24"/>
          <w:szCs w:val="24"/>
        </w:rPr>
        <w:t>本机构</w:t>
      </w:r>
      <w:r w:rsidRPr="003666EA">
        <w:rPr>
          <w:rFonts w:ascii="仿宋_GB2312" w:eastAsia="仿宋_GB2312" w:hAnsi="仿宋" w:hint="eastAsia"/>
          <w:sz w:val="24"/>
          <w:szCs w:val="24"/>
        </w:rPr>
        <w:t>的主要目的是赚取差价而非长期持有该股权，因此仅</w:t>
      </w:r>
      <w:r w:rsidR="00372297" w:rsidRPr="003666EA">
        <w:rPr>
          <w:rFonts w:ascii="仿宋_GB2312" w:eastAsia="仿宋_GB2312" w:hAnsi="仿宋" w:hint="eastAsia"/>
          <w:sz w:val="24"/>
          <w:szCs w:val="24"/>
        </w:rPr>
        <w:t>需</w:t>
      </w:r>
      <w:r w:rsidRPr="003666EA">
        <w:rPr>
          <w:rFonts w:ascii="仿宋_GB2312" w:eastAsia="仿宋_GB2312" w:hAnsi="仿宋" w:hint="eastAsia"/>
          <w:sz w:val="24"/>
          <w:szCs w:val="24"/>
        </w:rPr>
        <w:t>在</w:t>
      </w:r>
      <w:r w:rsidR="00170EC6" w:rsidRPr="003666EA">
        <w:rPr>
          <w:rFonts w:ascii="仿宋_GB2312" w:eastAsia="仿宋_GB2312" w:hAnsi="仿宋" w:hint="eastAsia"/>
          <w:sz w:val="24"/>
          <w:szCs w:val="24"/>
        </w:rPr>
        <w:t>报送</w:t>
      </w:r>
      <w:r w:rsidR="00C37E9D" w:rsidRPr="003666EA">
        <w:rPr>
          <w:rFonts w:ascii="仿宋_GB2312" w:eastAsia="仿宋_GB2312" w:hAnsi="仿宋" w:hint="eastAsia"/>
          <w:sz w:val="24"/>
          <w:szCs w:val="24"/>
        </w:rPr>
        <w:t>2月</w:t>
      </w:r>
      <w:r w:rsidR="00170EC6" w:rsidRPr="003666EA">
        <w:rPr>
          <w:rFonts w:ascii="仿宋_GB2312" w:eastAsia="仿宋_GB2312" w:hAnsi="仿宋" w:hint="eastAsia"/>
          <w:sz w:val="24"/>
          <w:szCs w:val="24"/>
        </w:rPr>
        <w:t>报表时将相关股权买卖纳入</w:t>
      </w:r>
      <w:r w:rsidRPr="003666EA">
        <w:rPr>
          <w:rFonts w:ascii="仿宋_GB2312" w:eastAsia="仿宋_GB2312" w:hAnsi="仿宋" w:hint="eastAsia"/>
          <w:sz w:val="24"/>
          <w:szCs w:val="24"/>
        </w:rPr>
        <w:t>B</w:t>
      </w:r>
      <w:r w:rsidR="00B35CAC">
        <w:rPr>
          <w:rFonts w:ascii="仿宋_GB2312" w:eastAsia="仿宋_GB2312" w:hAnsi="仿宋" w:hint="eastAsia"/>
          <w:sz w:val="24"/>
          <w:szCs w:val="24"/>
        </w:rPr>
        <w:t>01</w:t>
      </w:r>
      <w:r w:rsidRPr="003666EA">
        <w:rPr>
          <w:rFonts w:ascii="仿宋_GB2312" w:eastAsia="仿宋_GB2312" w:hAnsi="仿宋" w:hint="eastAsia"/>
          <w:sz w:val="24"/>
          <w:szCs w:val="24"/>
        </w:rPr>
        <w:t>表</w:t>
      </w:r>
      <w:r w:rsidR="00170EC6" w:rsidRPr="003666EA">
        <w:rPr>
          <w:rFonts w:ascii="仿宋_GB2312" w:eastAsia="仿宋_GB2312" w:hAnsi="仿宋" w:hint="eastAsia"/>
          <w:sz w:val="24"/>
          <w:szCs w:val="24"/>
        </w:rPr>
        <w:t>统计</w:t>
      </w:r>
      <w:r w:rsidR="00C37E9D" w:rsidRPr="003666EA">
        <w:rPr>
          <w:rFonts w:ascii="仿宋_GB2312" w:eastAsia="仿宋_GB2312" w:hAnsi="仿宋" w:hint="eastAsia"/>
          <w:sz w:val="24"/>
          <w:szCs w:val="24"/>
        </w:rPr>
        <w:t>，</w:t>
      </w:r>
      <w:r w:rsidR="00170EC6" w:rsidRPr="003666EA">
        <w:rPr>
          <w:rFonts w:ascii="仿宋_GB2312" w:eastAsia="仿宋_GB2312" w:hAnsi="仿宋" w:hint="eastAsia"/>
          <w:sz w:val="24"/>
          <w:szCs w:val="24"/>
        </w:rPr>
        <w:t>而不是在</w:t>
      </w:r>
      <w:r w:rsidR="00C37E9D" w:rsidRPr="003666EA">
        <w:rPr>
          <w:rFonts w:ascii="仿宋_GB2312" w:eastAsia="仿宋_GB2312" w:hAnsi="仿宋" w:hint="eastAsia"/>
          <w:sz w:val="24"/>
          <w:szCs w:val="24"/>
        </w:rPr>
        <w:t>A</w:t>
      </w:r>
      <w:r w:rsidR="00B35CAC">
        <w:rPr>
          <w:rFonts w:ascii="仿宋_GB2312" w:eastAsia="仿宋_GB2312" w:hAnsi="仿宋" w:hint="eastAsia"/>
          <w:sz w:val="24"/>
          <w:szCs w:val="24"/>
        </w:rPr>
        <w:t>01</w:t>
      </w:r>
      <w:r w:rsidR="00C37E9D" w:rsidRPr="003666EA">
        <w:rPr>
          <w:rFonts w:ascii="仿宋_GB2312" w:eastAsia="仿宋_GB2312" w:hAnsi="仿宋" w:hint="eastAsia"/>
          <w:sz w:val="24"/>
          <w:szCs w:val="24"/>
        </w:rPr>
        <w:t>表反映</w:t>
      </w:r>
      <w:r w:rsidRPr="003666EA">
        <w:rPr>
          <w:rFonts w:ascii="仿宋_GB2312" w:eastAsia="仿宋_GB2312" w:hAnsi="仿宋" w:hint="eastAsia"/>
          <w:sz w:val="24"/>
          <w:szCs w:val="24"/>
        </w:rPr>
        <w:t>。</w:t>
      </w:r>
    </w:p>
    <w:p w:rsidR="006C433F" w:rsidRPr="003666EA" w:rsidRDefault="00C96A8F"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如果2月增资后，2月末持有表决权比例大于等于10%，则</w:t>
      </w:r>
      <w:r w:rsidR="00DB7D31" w:rsidRPr="003666EA">
        <w:rPr>
          <w:rFonts w:ascii="仿宋_GB2312" w:eastAsia="仿宋_GB2312" w:hAnsi="仿宋" w:hint="eastAsia"/>
          <w:sz w:val="24"/>
          <w:szCs w:val="24"/>
        </w:rPr>
        <w:t>报送</w:t>
      </w:r>
      <w:r w:rsidR="002A44F9" w:rsidRPr="003666EA">
        <w:rPr>
          <w:rFonts w:ascii="仿宋_GB2312" w:eastAsia="仿宋_GB2312" w:hAnsi="仿宋" w:hint="eastAsia"/>
          <w:sz w:val="24"/>
          <w:szCs w:val="24"/>
        </w:rPr>
        <w:t>2月</w:t>
      </w:r>
      <w:r w:rsidR="00DB7D31" w:rsidRPr="003666EA">
        <w:rPr>
          <w:rFonts w:ascii="仿宋_GB2312" w:eastAsia="仿宋_GB2312" w:hAnsi="仿宋" w:hint="eastAsia"/>
          <w:sz w:val="24"/>
          <w:szCs w:val="24"/>
        </w:rPr>
        <w:t>报表时，</w:t>
      </w:r>
      <w:r w:rsidR="002A44F9" w:rsidRPr="003666EA">
        <w:rPr>
          <w:rFonts w:ascii="仿宋_GB2312" w:eastAsia="仿宋_GB2312" w:hAnsi="仿宋" w:hint="eastAsia"/>
          <w:sz w:val="24"/>
          <w:szCs w:val="24"/>
        </w:rPr>
        <w:t>应将对应交易和存量均应纳入A</w:t>
      </w:r>
      <w:r w:rsidR="00B35CAC">
        <w:rPr>
          <w:rFonts w:ascii="仿宋_GB2312" w:eastAsia="仿宋_GB2312" w:hAnsi="仿宋" w:hint="eastAsia"/>
          <w:sz w:val="24"/>
          <w:szCs w:val="24"/>
        </w:rPr>
        <w:t>01</w:t>
      </w:r>
      <w:r w:rsidR="002A44F9" w:rsidRPr="003666EA">
        <w:rPr>
          <w:rFonts w:ascii="仿宋_GB2312" w:eastAsia="仿宋_GB2312" w:hAnsi="仿宋" w:hint="eastAsia"/>
          <w:sz w:val="24"/>
          <w:szCs w:val="24"/>
        </w:rPr>
        <w:t>表统计，同时</w:t>
      </w:r>
      <w:r w:rsidRPr="003666EA">
        <w:rPr>
          <w:rFonts w:ascii="仿宋_GB2312" w:eastAsia="仿宋_GB2312" w:hAnsi="仿宋" w:hint="eastAsia"/>
          <w:sz w:val="24"/>
          <w:szCs w:val="24"/>
        </w:rPr>
        <w:t>应</w:t>
      </w:r>
      <w:r w:rsidR="00DB7D31" w:rsidRPr="003666EA">
        <w:rPr>
          <w:rFonts w:ascii="仿宋_GB2312" w:eastAsia="仿宋_GB2312" w:hAnsi="仿宋" w:hint="eastAsia"/>
          <w:sz w:val="24"/>
          <w:szCs w:val="24"/>
        </w:rPr>
        <w:t>在</w:t>
      </w:r>
      <w:r w:rsidR="002A44F9" w:rsidRPr="003666EA">
        <w:rPr>
          <w:rFonts w:ascii="仿宋_GB2312" w:eastAsia="仿宋_GB2312" w:hAnsi="仿宋" w:hint="eastAsia"/>
          <w:sz w:val="24"/>
          <w:szCs w:val="24"/>
        </w:rPr>
        <w:t>2月</w:t>
      </w:r>
      <w:r w:rsidR="001818FF" w:rsidRPr="003666EA">
        <w:rPr>
          <w:rFonts w:ascii="仿宋_GB2312" w:eastAsia="仿宋_GB2312" w:hAnsi="仿宋" w:hint="eastAsia"/>
          <w:sz w:val="24"/>
          <w:szCs w:val="24"/>
        </w:rPr>
        <w:t>的</w:t>
      </w:r>
      <w:r w:rsidR="002A44F9" w:rsidRPr="003666EA">
        <w:rPr>
          <w:rFonts w:ascii="仿宋_GB2312" w:eastAsia="仿宋_GB2312" w:hAnsi="仿宋" w:hint="eastAsia"/>
          <w:sz w:val="24"/>
          <w:szCs w:val="24"/>
        </w:rPr>
        <w:t>B</w:t>
      </w:r>
      <w:r w:rsidR="00B35CAC">
        <w:rPr>
          <w:rFonts w:ascii="仿宋_GB2312" w:eastAsia="仿宋_GB2312" w:hAnsi="仿宋" w:hint="eastAsia"/>
          <w:sz w:val="24"/>
          <w:szCs w:val="24"/>
        </w:rPr>
        <w:t>01</w:t>
      </w:r>
      <w:r w:rsidR="002A44F9" w:rsidRPr="003666EA">
        <w:rPr>
          <w:rFonts w:ascii="仿宋_GB2312" w:eastAsia="仿宋_GB2312" w:hAnsi="仿宋" w:hint="eastAsia"/>
          <w:sz w:val="24"/>
          <w:szCs w:val="24"/>
        </w:rPr>
        <w:t>表</w:t>
      </w:r>
      <w:r w:rsidR="00DB7D31" w:rsidRPr="003666EA">
        <w:rPr>
          <w:rFonts w:ascii="仿宋_GB2312" w:eastAsia="仿宋_GB2312" w:hAnsi="仿宋" w:hint="eastAsia"/>
          <w:sz w:val="24"/>
          <w:szCs w:val="24"/>
        </w:rPr>
        <w:t>中</w:t>
      </w:r>
      <w:r w:rsidR="001818FF" w:rsidRPr="003666EA">
        <w:rPr>
          <w:rFonts w:ascii="仿宋_GB2312" w:eastAsia="仿宋_GB2312" w:hAnsi="仿宋" w:hint="eastAsia"/>
          <w:sz w:val="24"/>
          <w:szCs w:val="24"/>
        </w:rPr>
        <w:t>记录</w:t>
      </w:r>
      <w:r w:rsidR="002A44F9" w:rsidRPr="003666EA">
        <w:rPr>
          <w:rFonts w:ascii="仿宋_GB2312" w:eastAsia="仿宋_GB2312" w:hAnsi="仿宋" w:hint="eastAsia"/>
          <w:sz w:val="24"/>
          <w:szCs w:val="24"/>
        </w:rPr>
        <w:t>上月末股权投资</w:t>
      </w:r>
      <w:r w:rsidRPr="003666EA">
        <w:rPr>
          <w:rFonts w:ascii="仿宋_GB2312" w:eastAsia="仿宋_GB2312" w:hAnsi="仿宋" w:hint="eastAsia"/>
          <w:sz w:val="24"/>
          <w:szCs w:val="24"/>
        </w:rPr>
        <w:t>余额</w:t>
      </w:r>
      <w:r w:rsidR="00DB7D31" w:rsidRPr="003666EA">
        <w:rPr>
          <w:rFonts w:ascii="仿宋_GB2312" w:eastAsia="仿宋_GB2312" w:hAnsi="仿宋" w:hint="eastAsia"/>
          <w:sz w:val="24"/>
          <w:szCs w:val="24"/>
        </w:rPr>
        <w:t>，</w:t>
      </w:r>
      <w:r w:rsidR="002A44F9" w:rsidRPr="003666EA">
        <w:rPr>
          <w:rFonts w:ascii="仿宋_GB2312" w:eastAsia="仿宋_GB2312" w:hAnsi="仿宋" w:hint="eastAsia"/>
          <w:sz w:val="24"/>
          <w:szCs w:val="24"/>
        </w:rPr>
        <w:t>本月末</w:t>
      </w:r>
      <w:r w:rsidR="001818FF" w:rsidRPr="003666EA">
        <w:rPr>
          <w:rFonts w:ascii="仿宋_GB2312" w:eastAsia="仿宋_GB2312" w:hAnsi="仿宋" w:hint="eastAsia"/>
          <w:sz w:val="24"/>
          <w:szCs w:val="24"/>
        </w:rPr>
        <w:t>记录</w:t>
      </w:r>
      <w:r w:rsidR="00DB7D31" w:rsidRPr="003666EA">
        <w:rPr>
          <w:rFonts w:ascii="仿宋_GB2312" w:eastAsia="仿宋_GB2312" w:hAnsi="仿宋" w:hint="eastAsia"/>
          <w:sz w:val="24"/>
          <w:szCs w:val="24"/>
        </w:rPr>
        <w:t>股权投资余额</w:t>
      </w:r>
      <w:r w:rsidR="001818FF" w:rsidRPr="003666EA">
        <w:rPr>
          <w:rFonts w:ascii="仿宋_GB2312" w:eastAsia="仿宋_GB2312" w:hAnsi="仿宋" w:hint="eastAsia"/>
          <w:sz w:val="24"/>
          <w:szCs w:val="24"/>
        </w:rPr>
        <w:t>（为</w:t>
      </w:r>
      <w:r w:rsidR="002A44F9" w:rsidRPr="003666EA">
        <w:rPr>
          <w:rFonts w:ascii="仿宋_GB2312" w:eastAsia="仿宋_GB2312" w:hAnsi="仿宋" w:hint="eastAsia"/>
          <w:sz w:val="24"/>
          <w:szCs w:val="24"/>
        </w:rPr>
        <w:t>0</w:t>
      </w:r>
      <w:r w:rsidR="001818FF" w:rsidRPr="003666EA">
        <w:rPr>
          <w:rFonts w:ascii="仿宋_GB2312" w:eastAsia="仿宋_GB2312" w:hAnsi="仿宋" w:hint="eastAsia"/>
          <w:sz w:val="24"/>
          <w:szCs w:val="24"/>
        </w:rPr>
        <w:t>）</w:t>
      </w:r>
      <w:r w:rsidR="002A44F9" w:rsidRPr="003666EA">
        <w:rPr>
          <w:rFonts w:ascii="仿宋_GB2312" w:eastAsia="仿宋_GB2312" w:hAnsi="仿宋" w:hint="eastAsia"/>
          <w:sz w:val="24"/>
          <w:szCs w:val="24"/>
        </w:rPr>
        <w:t>，</w:t>
      </w:r>
      <w:r w:rsidR="001818FF" w:rsidRPr="003666EA">
        <w:rPr>
          <w:rFonts w:ascii="仿宋_GB2312" w:eastAsia="仿宋_GB2312" w:hAnsi="仿宋" w:hint="eastAsia"/>
          <w:sz w:val="24"/>
          <w:szCs w:val="24"/>
        </w:rPr>
        <w:t>本月买入卖出金额（均为0），对应的</w:t>
      </w:r>
      <w:r w:rsidRPr="003666EA">
        <w:rPr>
          <w:rFonts w:ascii="仿宋_GB2312" w:eastAsia="仿宋_GB2312" w:hAnsi="仿宋" w:hint="eastAsia"/>
          <w:sz w:val="24"/>
          <w:szCs w:val="24"/>
        </w:rPr>
        <w:t>本月</w:t>
      </w:r>
      <w:r w:rsidR="002A44F9" w:rsidRPr="003666EA">
        <w:rPr>
          <w:rFonts w:ascii="仿宋_GB2312" w:eastAsia="仿宋_GB2312" w:hAnsi="仿宋" w:hint="eastAsia"/>
          <w:sz w:val="24"/>
          <w:szCs w:val="24"/>
        </w:rPr>
        <w:t>非交易变动</w:t>
      </w:r>
      <w:r w:rsidR="001818FF" w:rsidRPr="003666EA">
        <w:rPr>
          <w:rFonts w:ascii="仿宋_GB2312" w:eastAsia="仿宋_GB2312" w:hAnsi="仿宋" w:hint="eastAsia"/>
          <w:sz w:val="24"/>
          <w:szCs w:val="24"/>
        </w:rPr>
        <w:t>为负值（参见平衡关系式：本月末余额-上月末余额=本月买卖净值+本月非交易变动）</w:t>
      </w:r>
      <w:r w:rsidR="002A44F9" w:rsidRPr="003666EA">
        <w:rPr>
          <w:rFonts w:ascii="仿宋_GB2312" w:eastAsia="仿宋_GB2312" w:hAnsi="仿宋" w:hint="eastAsia"/>
          <w:sz w:val="24"/>
          <w:szCs w:val="24"/>
        </w:rPr>
        <w:t>。</w:t>
      </w:r>
    </w:p>
    <w:p w:rsidR="00F833BA" w:rsidRPr="003666EA" w:rsidRDefault="00C96A8F"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如果2月增资并在2月末达到10%及以上表决权，</w:t>
      </w:r>
      <w:r w:rsidR="00372297" w:rsidRPr="003666EA">
        <w:rPr>
          <w:rFonts w:ascii="仿宋_GB2312" w:eastAsia="仿宋_GB2312" w:hAnsi="仿宋" w:hint="eastAsia"/>
          <w:sz w:val="24"/>
          <w:szCs w:val="24"/>
        </w:rPr>
        <w:t>但</w:t>
      </w:r>
      <w:r w:rsidRPr="003666EA">
        <w:rPr>
          <w:rFonts w:ascii="仿宋_GB2312" w:eastAsia="仿宋_GB2312" w:hAnsi="仿宋" w:hint="eastAsia"/>
          <w:sz w:val="24"/>
          <w:szCs w:val="24"/>
        </w:rPr>
        <w:t>3月卖出相关股权，3月末持有表决权比例小于10%，则</w:t>
      </w:r>
      <w:r w:rsidR="001818FF" w:rsidRPr="003666EA">
        <w:rPr>
          <w:rFonts w:ascii="仿宋_GB2312" w:eastAsia="仿宋_GB2312" w:hAnsi="仿宋" w:hint="eastAsia"/>
          <w:sz w:val="24"/>
          <w:szCs w:val="24"/>
        </w:rPr>
        <w:t>在</w:t>
      </w:r>
      <w:r w:rsidRPr="003666EA">
        <w:rPr>
          <w:rFonts w:ascii="仿宋_GB2312" w:eastAsia="仿宋_GB2312" w:hAnsi="仿宋" w:hint="eastAsia"/>
          <w:sz w:val="24"/>
          <w:szCs w:val="24"/>
        </w:rPr>
        <w:t>报送3月报表时，</w:t>
      </w:r>
      <w:r w:rsidR="00C37E9D" w:rsidRPr="003666EA">
        <w:rPr>
          <w:rFonts w:ascii="仿宋_GB2312" w:eastAsia="仿宋_GB2312" w:hAnsi="仿宋" w:hint="eastAsia"/>
          <w:sz w:val="24"/>
          <w:szCs w:val="24"/>
        </w:rPr>
        <w:t>因期初持有境外表决权比例大于10%，</w:t>
      </w:r>
      <w:r w:rsidR="00F833BA" w:rsidRPr="003666EA">
        <w:rPr>
          <w:rFonts w:ascii="仿宋_GB2312" w:eastAsia="仿宋_GB2312" w:hAnsi="仿宋" w:hint="eastAsia"/>
          <w:sz w:val="24"/>
          <w:szCs w:val="24"/>
        </w:rPr>
        <w:t>因此相关卖出金额</w:t>
      </w:r>
      <w:r w:rsidRPr="003666EA">
        <w:rPr>
          <w:rFonts w:ascii="仿宋_GB2312" w:eastAsia="仿宋_GB2312" w:hAnsi="仿宋" w:hint="eastAsia"/>
          <w:sz w:val="24"/>
          <w:szCs w:val="24"/>
        </w:rPr>
        <w:t>应纳入</w:t>
      </w:r>
      <w:r w:rsidR="00C37E9D" w:rsidRPr="003666EA">
        <w:rPr>
          <w:rFonts w:ascii="仿宋_GB2312" w:eastAsia="仿宋_GB2312" w:hAnsi="仿宋" w:hint="eastAsia"/>
          <w:sz w:val="24"/>
          <w:szCs w:val="24"/>
        </w:rPr>
        <w:t>3月</w:t>
      </w:r>
      <w:r w:rsidRPr="003666EA">
        <w:rPr>
          <w:rFonts w:ascii="仿宋_GB2312" w:eastAsia="仿宋_GB2312" w:hAnsi="仿宋" w:hint="eastAsia"/>
          <w:sz w:val="24"/>
          <w:szCs w:val="24"/>
        </w:rPr>
        <w:t>A</w:t>
      </w:r>
      <w:r w:rsidR="00B35CAC">
        <w:rPr>
          <w:rFonts w:ascii="仿宋_GB2312" w:eastAsia="仿宋_GB2312" w:hAnsi="仿宋" w:hint="eastAsia"/>
          <w:sz w:val="24"/>
          <w:szCs w:val="24"/>
        </w:rPr>
        <w:t>01</w:t>
      </w:r>
      <w:r w:rsidRPr="003666EA">
        <w:rPr>
          <w:rFonts w:ascii="仿宋_GB2312" w:eastAsia="仿宋_GB2312" w:hAnsi="仿宋" w:hint="eastAsia"/>
          <w:sz w:val="24"/>
          <w:szCs w:val="24"/>
        </w:rPr>
        <w:t>表统计</w:t>
      </w:r>
      <w:r w:rsidR="00F833BA" w:rsidRPr="003666EA">
        <w:rPr>
          <w:rFonts w:ascii="仿宋_GB2312" w:eastAsia="仿宋_GB2312" w:hAnsi="仿宋" w:hint="eastAsia"/>
          <w:sz w:val="24"/>
          <w:szCs w:val="24"/>
        </w:rPr>
        <w:t>，但相关存量应纳入B</w:t>
      </w:r>
      <w:r w:rsidR="00B35CAC">
        <w:rPr>
          <w:rFonts w:ascii="仿宋_GB2312" w:eastAsia="仿宋_GB2312" w:hAnsi="仿宋" w:hint="eastAsia"/>
          <w:sz w:val="24"/>
          <w:szCs w:val="24"/>
        </w:rPr>
        <w:t>01</w:t>
      </w:r>
      <w:r w:rsidR="00F833BA" w:rsidRPr="003666EA">
        <w:rPr>
          <w:rFonts w:ascii="仿宋_GB2312" w:eastAsia="仿宋_GB2312" w:hAnsi="仿宋" w:hint="eastAsia"/>
          <w:sz w:val="24"/>
          <w:szCs w:val="24"/>
        </w:rPr>
        <w:t>表统计，记录方法为：B表上月末股权投资余额为0，本月末股权投资余额为市值重估数据，本月买入卖出均为0，对应的本月非交易变动为正值（参见平衡关系式：本月末余额-上月末余额=本月买卖净值+本月非交易变动）。</w:t>
      </w:r>
    </w:p>
    <w:p w:rsidR="00C96A8F" w:rsidRPr="003666EA" w:rsidRDefault="00CB6213"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如果其后再无买卖，则其后各月</w:t>
      </w:r>
      <w:r w:rsidR="00B6494B" w:rsidRPr="003666EA">
        <w:rPr>
          <w:rFonts w:ascii="仿宋_GB2312" w:eastAsia="仿宋_GB2312" w:hAnsi="仿宋" w:hint="eastAsia"/>
          <w:sz w:val="24"/>
          <w:szCs w:val="24"/>
        </w:rPr>
        <w:t>，本机构对境外机构10%以下的股权投资</w:t>
      </w:r>
      <w:r w:rsidRPr="003666EA">
        <w:rPr>
          <w:rFonts w:ascii="仿宋_GB2312" w:eastAsia="仿宋_GB2312" w:hAnsi="仿宋" w:hint="eastAsia"/>
          <w:sz w:val="24"/>
          <w:szCs w:val="24"/>
        </w:rPr>
        <w:t>均</w:t>
      </w:r>
      <w:r w:rsidRPr="003666EA">
        <w:rPr>
          <w:rFonts w:ascii="仿宋_GB2312" w:eastAsia="仿宋_GB2312" w:hAnsi="仿宋" w:hint="eastAsia"/>
          <w:sz w:val="24"/>
          <w:szCs w:val="24"/>
        </w:rPr>
        <w:lastRenderedPageBreak/>
        <w:t>在</w:t>
      </w:r>
      <w:r w:rsidR="007D30D1" w:rsidRPr="003666EA">
        <w:rPr>
          <w:rFonts w:ascii="仿宋_GB2312" w:eastAsia="仿宋_GB2312" w:hAnsi="仿宋" w:hint="eastAsia"/>
          <w:sz w:val="24"/>
          <w:szCs w:val="24"/>
        </w:rPr>
        <w:t>B</w:t>
      </w:r>
      <w:r w:rsidR="00B35CAC">
        <w:rPr>
          <w:rFonts w:ascii="仿宋_GB2312" w:eastAsia="仿宋_GB2312" w:hAnsi="仿宋" w:hint="eastAsia"/>
          <w:sz w:val="24"/>
          <w:szCs w:val="24"/>
        </w:rPr>
        <w:t>01</w:t>
      </w:r>
      <w:r w:rsidR="007D30D1" w:rsidRPr="003666EA">
        <w:rPr>
          <w:rFonts w:ascii="仿宋_GB2312" w:eastAsia="仿宋_GB2312" w:hAnsi="仿宋" w:hint="eastAsia"/>
          <w:sz w:val="24"/>
          <w:szCs w:val="24"/>
        </w:rPr>
        <w:t>表统计</w:t>
      </w:r>
      <w:r w:rsidRPr="003666EA">
        <w:rPr>
          <w:rFonts w:ascii="仿宋_GB2312" w:eastAsia="仿宋_GB2312" w:hAnsi="仿宋" w:hint="eastAsia"/>
          <w:sz w:val="24"/>
          <w:szCs w:val="24"/>
        </w:rPr>
        <w:t>。</w:t>
      </w:r>
    </w:p>
    <w:p w:rsidR="00234E41" w:rsidRPr="003666EA" w:rsidRDefault="00234E41" w:rsidP="003666EA">
      <w:pPr>
        <w:spacing w:line="360" w:lineRule="auto"/>
        <w:ind w:firstLineChars="200" w:firstLine="480"/>
        <w:rPr>
          <w:rFonts w:asciiTheme="minorEastAsia" w:hAnsiTheme="minorEastAsia"/>
          <w:sz w:val="24"/>
          <w:szCs w:val="24"/>
        </w:rPr>
      </w:pPr>
    </w:p>
    <w:p w:rsidR="00234E41" w:rsidRPr="003666EA" w:rsidRDefault="0053316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1093E">
        <w:rPr>
          <w:rFonts w:asciiTheme="minorEastAsia" w:hAnsiTheme="minorEastAsia" w:hint="eastAsia"/>
          <w:b/>
          <w:sz w:val="24"/>
          <w:szCs w:val="24"/>
        </w:rPr>
        <w:t>2</w:t>
      </w:r>
      <w:r w:rsidR="009E307C">
        <w:rPr>
          <w:rFonts w:asciiTheme="minorEastAsia" w:hAnsiTheme="minorEastAsia" w:hint="eastAsia"/>
          <w:b/>
          <w:sz w:val="24"/>
          <w:szCs w:val="24"/>
        </w:rPr>
        <w:t>1</w:t>
      </w:r>
      <w:r w:rsidRPr="003666EA">
        <w:rPr>
          <w:rFonts w:asciiTheme="minorEastAsia" w:hAnsiTheme="minorEastAsia" w:hint="eastAsia"/>
          <w:b/>
          <w:sz w:val="24"/>
          <w:szCs w:val="24"/>
        </w:rPr>
        <w:t>：境内某保险公司共有4名股东，包括一名外方股东，三名中方股东，4名股东各持股25%，最终控制方应如何填报？</w:t>
      </w:r>
    </w:p>
    <w:p w:rsidR="00533160" w:rsidRPr="003666EA" w:rsidRDefault="00533160"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E953C6" w:rsidRPr="003666EA">
        <w:rPr>
          <w:rFonts w:ascii="仿宋_GB2312" w:eastAsia="仿宋_GB2312" w:hAnsi="仿宋" w:hint="eastAsia"/>
          <w:sz w:val="24"/>
          <w:szCs w:val="24"/>
        </w:rPr>
        <w:t>控制方持有被投资企业的表决权比例须大于50%，因此在本例中</w:t>
      </w:r>
      <w:r w:rsidRPr="003666EA">
        <w:rPr>
          <w:rFonts w:ascii="仿宋_GB2312" w:eastAsia="仿宋_GB2312" w:hAnsi="仿宋" w:hint="eastAsia"/>
          <w:sz w:val="24"/>
          <w:szCs w:val="24"/>
        </w:rPr>
        <w:t>，</w:t>
      </w:r>
      <w:r w:rsidR="00C73F98" w:rsidRPr="003666EA">
        <w:rPr>
          <w:rFonts w:ascii="仿宋_GB2312" w:eastAsia="仿宋_GB2312" w:hAnsi="仿宋" w:hint="eastAsia"/>
          <w:sz w:val="24"/>
          <w:szCs w:val="24"/>
        </w:rPr>
        <w:t>境内保险公司的股东中</w:t>
      </w:r>
      <w:r w:rsidRPr="003666EA">
        <w:rPr>
          <w:rFonts w:ascii="仿宋_GB2312" w:eastAsia="仿宋_GB2312" w:hAnsi="仿宋" w:hint="eastAsia"/>
          <w:sz w:val="24"/>
          <w:szCs w:val="24"/>
        </w:rPr>
        <w:t>既无直接的控制方（持有表决权比例超过50%），也无最终控制方。</w:t>
      </w:r>
    </w:p>
    <w:p w:rsidR="00533160" w:rsidRPr="003666EA" w:rsidRDefault="00533160" w:rsidP="003666EA">
      <w:pPr>
        <w:spacing w:line="360" w:lineRule="auto"/>
        <w:ind w:firstLineChars="200" w:firstLine="480"/>
        <w:rPr>
          <w:rFonts w:asciiTheme="minorEastAsia" w:hAnsiTheme="minorEastAsia"/>
          <w:sz w:val="24"/>
          <w:szCs w:val="24"/>
        </w:rPr>
      </w:pPr>
    </w:p>
    <w:p w:rsidR="00533160" w:rsidRPr="003666EA" w:rsidRDefault="00C73F98"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FF207C">
        <w:rPr>
          <w:rFonts w:asciiTheme="minorEastAsia" w:hAnsiTheme="minorEastAsia" w:hint="eastAsia"/>
          <w:b/>
          <w:sz w:val="24"/>
          <w:szCs w:val="24"/>
        </w:rPr>
        <w:t>2</w:t>
      </w:r>
      <w:r w:rsidR="002B247B">
        <w:rPr>
          <w:rFonts w:asciiTheme="minorEastAsia" w:hAnsiTheme="minorEastAsia" w:hint="eastAsia"/>
          <w:b/>
          <w:sz w:val="24"/>
          <w:szCs w:val="24"/>
        </w:rPr>
        <w:t>2</w:t>
      </w:r>
      <w:r w:rsidRPr="003666EA">
        <w:rPr>
          <w:rFonts w:asciiTheme="minorEastAsia" w:hAnsiTheme="minorEastAsia" w:hint="eastAsia"/>
          <w:b/>
          <w:sz w:val="24"/>
          <w:szCs w:val="24"/>
        </w:rPr>
        <w:t>：</w:t>
      </w:r>
      <w:r w:rsidR="00A15D0D" w:rsidRPr="003666EA">
        <w:rPr>
          <w:rFonts w:asciiTheme="minorEastAsia" w:hAnsiTheme="minorEastAsia" w:hint="eastAsia"/>
          <w:b/>
          <w:sz w:val="24"/>
          <w:szCs w:val="24"/>
        </w:rPr>
        <w:t>境内</w:t>
      </w:r>
      <w:r w:rsidRPr="003666EA">
        <w:rPr>
          <w:rFonts w:asciiTheme="minorEastAsia" w:hAnsiTheme="minorEastAsia" w:hint="eastAsia"/>
          <w:b/>
          <w:sz w:val="24"/>
          <w:szCs w:val="24"/>
        </w:rPr>
        <w:t>某保险公司外方股东A持有10%的股份，该公司引入外方股东B向其增资，增资后，A所持股份小于10%，B所持股份大于10%，应如何填报？</w:t>
      </w:r>
    </w:p>
    <w:p w:rsidR="000648E1" w:rsidRPr="003666EA" w:rsidRDefault="00C73F98"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A15D0D" w:rsidRPr="003666EA">
        <w:rPr>
          <w:rFonts w:ascii="仿宋_GB2312" w:eastAsia="仿宋_GB2312" w:hAnsi="仿宋" w:hint="eastAsia"/>
          <w:sz w:val="24"/>
          <w:szCs w:val="24"/>
        </w:rPr>
        <w:t>境内某</w:t>
      </w:r>
      <w:r w:rsidR="00C435F8" w:rsidRPr="003666EA">
        <w:rPr>
          <w:rFonts w:ascii="仿宋_GB2312" w:eastAsia="仿宋_GB2312" w:hAnsi="仿宋" w:hint="eastAsia"/>
          <w:sz w:val="24"/>
          <w:szCs w:val="24"/>
        </w:rPr>
        <w:t>保险公司</w:t>
      </w:r>
      <w:r w:rsidR="00A15D0D" w:rsidRPr="003666EA">
        <w:rPr>
          <w:rFonts w:ascii="仿宋_GB2312" w:eastAsia="仿宋_GB2312" w:hAnsi="仿宋" w:hint="eastAsia"/>
          <w:sz w:val="24"/>
          <w:szCs w:val="24"/>
        </w:rPr>
        <w:t>（C）</w:t>
      </w:r>
      <w:r w:rsidR="00C435F8" w:rsidRPr="003666EA">
        <w:rPr>
          <w:rFonts w:ascii="仿宋_GB2312" w:eastAsia="仿宋_GB2312" w:hAnsi="仿宋" w:hint="eastAsia"/>
          <w:sz w:val="24"/>
          <w:szCs w:val="24"/>
        </w:rPr>
        <w:t>在引入外方股东B的当月，</w:t>
      </w:r>
      <w:r w:rsidR="000648E1" w:rsidRPr="003666EA">
        <w:rPr>
          <w:rFonts w:ascii="仿宋_GB2312" w:eastAsia="仿宋_GB2312" w:hAnsi="仿宋" w:hint="eastAsia"/>
          <w:sz w:val="24"/>
          <w:szCs w:val="24"/>
        </w:rPr>
        <w:t>应在A02的存量和流量中填报吸收B股东增资入股的信息，同时应区分以下情况</w:t>
      </w:r>
      <w:r w:rsidR="00314762" w:rsidRPr="003666EA">
        <w:rPr>
          <w:rFonts w:ascii="仿宋_GB2312" w:eastAsia="仿宋_GB2312" w:hAnsi="仿宋" w:hint="eastAsia"/>
          <w:sz w:val="24"/>
          <w:szCs w:val="24"/>
        </w:rPr>
        <w:t>进行</w:t>
      </w:r>
      <w:r w:rsidR="000648E1" w:rsidRPr="003666EA">
        <w:rPr>
          <w:rFonts w:ascii="仿宋_GB2312" w:eastAsia="仿宋_GB2312" w:hAnsi="仿宋" w:hint="eastAsia"/>
          <w:sz w:val="24"/>
          <w:szCs w:val="24"/>
        </w:rPr>
        <w:t>报表</w:t>
      </w:r>
      <w:r w:rsidR="00314762" w:rsidRPr="003666EA">
        <w:rPr>
          <w:rFonts w:ascii="仿宋_GB2312" w:eastAsia="仿宋_GB2312" w:hAnsi="仿宋" w:hint="eastAsia"/>
          <w:sz w:val="24"/>
          <w:szCs w:val="24"/>
        </w:rPr>
        <w:t>填报</w:t>
      </w:r>
      <w:r w:rsidR="000648E1" w:rsidRPr="003666EA">
        <w:rPr>
          <w:rFonts w:ascii="仿宋_GB2312" w:eastAsia="仿宋_GB2312" w:hAnsi="仿宋" w:hint="eastAsia"/>
          <w:sz w:val="24"/>
          <w:szCs w:val="24"/>
        </w:rPr>
        <w:t>：</w:t>
      </w:r>
    </w:p>
    <w:p w:rsidR="000648E1" w:rsidRPr="003666EA" w:rsidRDefault="000648E1"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情况一：当B机构完全是新引入的投资者（即上月</w:t>
      </w:r>
      <w:r w:rsidR="000A596C" w:rsidRPr="003666EA">
        <w:rPr>
          <w:rFonts w:ascii="仿宋_GB2312" w:eastAsia="仿宋_GB2312" w:hAnsi="仿宋" w:hint="eastAsia"/>
          <w:sz w:val="24"/>
          <w:szCs w:val="24"/>
        </w:rPr>
        <w:t>B</w:t>
      </w:r>
      <w:r w:rsidRPr="003666EA">
        <w:rPr>
          <w:rFonts w:ascii="仿宋_GB2312" w:eastAsia="仿宋_GB2312" w:hAnsi="仿宋" w:hint="eastAsia"/>
          <w:sz w:val="24"/>
          <w:szCs w:val="24"/>
        </w:rPr>
        <w:t>不是持有表决权10%以下的证券投资者），则B的投资入股</w:t>
      </w:r>
      <w:r w:rsidR="000A596C" w:rsidRPr="003666EA">
        <w:rPr>
          <w:rFonts w:ascii="仿宋_GB2312" w:eastAsia="仿宋_GB2312" w:hAnsi="仿宋" w:hint="eastAsia"/>
          <w:sz w:val="24"/>
          <w:szCs w:val="24"/>
        </w:rPr>
        <w:t>仅纳入本月A02表统计，</w:t>
      </w:r>
      <w:r w:rsidRPr="003666EA">
        <w:rPr>
          <w:rFonts w:ascii="仿宋_GB2312" w:eastAsia="仿宋_GB2312" w:hAnsi="仿宋" w:hint="eastAsia"/>
          <w:sz w:val="24"/>
          <w:szCs w:val="24"/>
        </w:rPr>
        <w:t>不影响本月B0</w:t>
      </w:r>
      <w:r w:rsidR="00FF71C4">
        <w:rPr>
          <w:rFonts w:ascii="仿宋_GB2312" w:eastAsia="仿宋_GB2312" w:hAnsi="仿宋" w:hint="eastAsia"/>
          <w:sz w:val="24"/>
          <w:szCs w:val="24"/>
        </w:rPr>
        <w:t>4</w:t>
      </w:r>
      <w:r w:rsidRPr="003666EA">
        <w:rPr>
          <w:rFonts w:ascii="仿宋_GB2312" w:eastAsia="仿宋_GB2312" w:hAnsi="仿宋" w:hint="eastAsia"/>
          <w:sz w:val="24"/>
          <w:szCs w:val="24"/>
        </w:rPr>
        <w:t>表统计。</w:t>
      </w:r>
    </w:p>
    <w:p w:rsidR="000648E1" w:rsidRDefault="000648E1"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情况二：当上月末B机构已纳入B0</w:t>
      </w:r>
      <w:r w:rsidR="00FF71C4">
        <w:rPr>
          <w:rFonts w:ascii="仿宋_GB2312" w:eastAsia="仿宋_GB2312" w:hAnsi="仿宋" w:hint="eastAsia"/>
          <w:sz w:val="24"/>
          <w:szCs w:val="24"/>
        </w:rPr>
        <w:t>4</w:t>
      </w:r>
      <w:r w:rsidRPr="003666EA">
        <w:rPr>
          <w:rFonts w:ascii="仿宋_GB2312" w:eastAsia="仿宋_GB2312" w:hAnsi="仿宋" w:hint="eastAsia"/>
          <w:sz w:val="24"/>
          <w:szCs w:val="24"/>
        </w:rPr>
        <w:t>表统计时（即上月</w:t>
      </w:r>
      <w:r w:rsidR="00660647">
        <w:rPr>
          <w:rFonts w:ascii="仿宋_GB2312" w:eastAsia="仿宋_GB2312" w:hAnsi="仿宋" w:hint="eastAsia"/>
          <w:sz w:val="24"/>
          <w:szCs w:val="24"/>
        </w:rPr>
        <w:t>末</w:t>
      </w:r>
      <w:r w:rsidRPr="003666EA">
        <w:rPr>
          <w:rFonts w:ascii="仿宋_GB2312" w:eastAsia="仿宋_GB2312" w:hAnsi="仿宋" w:hint="eastAsia"/>
          <w:sz w:val="24"/>
          <w:szCs w:val="24"/>
        </w:rPr>
        <w:t>B</w:t>
      </w:r>
      <w:r w:rsidR="00660647">
        <w:rPr>
          <w:rFonts w:ascii="仿宋_GB2312" w:eastAsia="仿宋_GB2312" w:hAnsi="仿宋" w:hint="eastAsia"/>
          <w:sz w:val="24"/>
          <w:szCs w:val="24"/>
        </w:rPr>
        <w:t>已持有</w:t>
      </w:r>
      <w:r w:rsidRPr="003666EA">
        <w:rPr>
          <w:rFonts w:ascii="仿宋_GB2312" w:eastAsia="仿宋_GB2312" w:hAnsi="仿宋" w:hint="eastAsia"/>
          <w:sz w:val="24"/>
          <w:szCs w:val="24"/>
        </w:rPr>
        <w:t>C公司</w:t>
      </w:r>
      <w:r w:rsidR="00660647">
        <w:rPr>
          <w:rFonts w:ascii="仿宋_GB2312" w:eastAsia="仿宋_GB2312" w:hAnsi="仿宋" w:hint="eastAsia"/>
          <w:sz w:val="24"/>
          <w:szCs w:val="24"/>
        </w:rPr>
        <w:t>10%以下</w:t>
      </w:r>
      <w:r w:rsidR="00FF7E6E">
        <w:rPr>
          <w:rFonts w:ascii="仿宋_GB2312" w:eastAsia="仿宋_GB2312" w:hAnsi="仿宋" w:hint="eastAsia"/>
          <w:sz w:val="24"/>
          <w:szCs w:val="24"/>
        </w:rPr>
        <w:t>的</w:t>
      </w:r>
      <w:r w:rsidR="005437C2">
        <w:rPr>
          <w:rFonts w:ascii="仿宋_GB2312" w:eastAsia="仿宋_GB2312" w:hAnsi="仿宋" w:hint="eastAsia"/>
          <w:sz w:val="24"/>
          <w:szCs w:val="24"/>
        </w:rPr>
        <w:t>非上市股份</w:t>
      </w:r>
      <w:r w:rsidR="00FF7E6E">
        <w:rPr>
          <w:rFonts w:ascii="仿宋_GB2312" w:eastAsia="仿宋_GB2312" w:hAnsi="仿宋" w:hint="eastAsia"/>
          <w:sz w:val="24"/>
          <w:szCs w:val="24"/>
        </w:rPr>
        <w:t>或境外上市H股</w:t>
      </w:r>
      <w:r w:rsidRPr="003666EA">
        <w:rPr>
          <w:rFonts w:ascii="仿宋_GB2312" w:eastAsia="仿宋_GB2312" w:hAnsi="仿宋" w:hint="eastAsia"/>
          <w:sz w:val="24"/>
          <w:szCs w:val="24"/>
        </w:rPr>
        <w:t>），则应</w:t>
      </w:r>
      <w:r w:rsidR="00FF7E6E">
        <w:rPr>
          <w:rFonts w:ascii="仿宋_GB2312" w:eastAsia="仿宋_GB2312" w:hAnsi="仿宋" w:hint="eastAsia"/>
          <w:sz w:val="24"/>
          <w:szCs w:val="24"/>
        </w:rPr>
        <w:t>在本月</w:t>
      </w:r>
      <w:r w:rsidRPr="003666EA">
        <w:rPr>
          <w:rFonts w:ascii="仿宋_GB2312" w:eastAsia="仿宋_GB2312" w:hAnsi="仿宋" w:hint="eastAsia"/>
          <w:sz w:val="24"/>
          <w:szCs w:val="24"/>
        </w:rPr>
        <w:t>B0</w:t>
      </w:r>
      <w:r w:rsidR="00FF71C4">
        <w:rPr>
          <w:rFonts w:ascii="仿宋_GB2312" w:eastAsia="仿宋_GB2312" w:hAnsi="仿宋" w:hint="eastAsia"/>
          <w:sz w:val="24"/>
          <w:szCs w:val="24"/>
        </w:rPr>
        <w:t>4</w:t>
      </w:r>
      <w:r w:rsidRPr="003666EA">
        <w:rPr>
          <w:rFonts w:ascii="仿宋_GB2312" w:eastAsia="仿宋_GB2312" w:hAnsi="仿宋" w:hint="eastAsia"/>
          <w:sz w:val="24"/>
          <w:szCs w:val="24"/>
        </w:rPr>
        <w:t>表中</w:t>
      </w:r>
      <w:r w:rsidR="00FF7E6E">
        <w:rPr>
          <w:rFonts w:ascii="仿宋_GB2312" w:eastAsia="仿宋_GB2312" w:hAnsi="仿宋" w:hint="eastAsia"/>
          <w:sz w:val="24"/>
          <w:szCs w:val="24"/>
        </w:rPr>
        <w:t>记录</w:t>
      </w:r>
      <w:r w:rsidRPr="003666EA">
        <w:rPr>
          <w:rFonts w:ascii="仿宋_GB2312" w:eastAsia="仿宋_GB2312" w:hAnsi="仿宋" w:hint="eastAsia"/>
          <w:sz w:val="24"/>
          <w:szCs w:val="24"/>
        </w:rPr>
        <w:t>B的上月末余额、本月末余额（为0）、本月买入/卖出金额（为0）和</w:t>
      </w:r>
      <w:r w:rsidR="008B5755">
        <w:rPr>
          <w:rFonts w:ascii="仿宋_GB2312" w:eastAsia="仿宋_GB2312" w:hAnsi="仿宋" w:hint="eastAsia"/>
          <w:sz w:val="24"/>
          <w:szCs w:val="24"/>
        </w:rPr>
        <w:t>“B0413本月非交易变动：调整及重新分类至其他报表统计的金额”</w:t>
      </w:r>
      <w:r w:rsidRPr="003666EA">
        <w:rPr>
          <w:rFonts w:ascii="仿宋_GB2312" w:eastAsia="仿宋_GB2312" w:hAnsi="仿宋" w:hint="eastAsia"/>
          <w:sz w:val="24"/>
          <w:szCs w:val="24"/>
        </w:rPr>
        <w:t>（为负值）等金额。</w:t>
      </w:r>
      <w:r w:rsidR="00FF7E6E">
        <w:rPr>
          <w:rFonts w:ascii="仿宋_GB2312" w:eastAsia="仿宋_GB2312" w:hAnsi="仿宋" w:hint="eastAsia"/>
          <w:sz w:val="24"/>
          <w:szCs w:val="24"/>
        </w:rPr>
        <w:t>同时B0407“投资者与本机构的关系”选择1。</w:t>
      </w:r>
    </w:p>
    <w:p w:rsidR="000A596C" w:rsidRPr="003666EA" w:rsidRDefault="000A596C"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对于原直接投资者A而言，应区分以下情况进行记录：</w:t>
      </w:r>
    </w:p>
    <w:p w:rsidR="00063458" w:rsidRPr="003666EA" w:rsidRDefault="000A596C"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情况一：A也</w:t>
      </w:r>
      <w:r w:rsidR="00063458" w:rsidRPr="003666EA">
        <w:rPr>
          <w:rFonts w:ascii="仿宋_GB2312" w:eastAsia="仿宋_GB2312" w:hAnsi="仿宋" w:hint="eastAsia"/>
          <w:sz w:val="24"/>
          <w:szCs w:val="24"/>
        </w:rPr>
        <w:t>进行了</w:t>
      </w:r>
      <w:r w:rsidRPr="003666EA">
        <w:rPr>
          <w:rFonts w:ascii="仿宋_GB2312" w:eastAsia="仿宋_GB2312" w:hAnsi="仿宋" w:hint="eastAsia"/>
          <w:sz w:val="24"/>
          <w:szCs w:val="24"/>
        </w:rPr>
        <w:t>增资，但是</w:t>
      </w:r>
      <w:r w:rsidR="00063458" w:rsidRPr="003666EA">
        <w:rPr>
          <w:rFonts w:ascii="仿宋_GB2312" w:eastAsia="仿宋_GB2312" w:hAnsi="仿宋" w:hint="eastAsia"/>
          <w:sz w:val="24"/>
          <w:szCs w:val="24"/>
        </w:rPr>
        <w:t>其增资幅度不如B，因此增资后持有表决权小于10%。这时，A的增资应纳入A02-3统计</w:t>
      </w:r>
      <w:r w:rsidR="00823A07" w:rsidRPr="003666EA">
        <w:rPr>
          <w:rFonts w:ascii="仿宋_GB2312" w:eastAsia="仿宋_GB2312" w:hAnsi="仿宋" w:hint="eastAsia"/>
          <w:sz w:val="24"/>
          <w:szCs w:val="24"/>
        </w:rPr>
        <w:t>（为正值）</w:t>
      </w:r>
      <w:r w:rsidR="00063458" w:rsidRPr="003666EA">
        <w:rPr>
          <w:rFonts w:ascii="仿宋_GB2312" w:eastAsia="仿宋_GB2312" w:hAnsi="仿宋" w:hint="eastAsia"/>
          <w:sz w:val="24"/>
          <w:szCs w:val="24"/>
        </w:rPr>
        <w:t>，但是其持有股权余额应纳入B0</w:t>
      </w:r>
      <w:r w:rsidR="00FF7E6E">
        <w:rPr>
          <w:rFonts w:ascii="仿宋_GB2312" w:eastAsia="仿宋_GB2312" w:hAnsi="仿宋" w:hint="eastAsia"/>
          <w:sz w:val="24"/>
          <w:szCs w:val="24"/>
        </w:rPr>
        <w:t>4</w:t>
      </w:r>
      <w:r w:rsidR="00063458" w:rsidRPr="003666EA">
        <w:rPr>
          <w:rFonts w:ascii="仿宋_GB2312" w:eastAsia="仿宋_GB2312" w:hAnsi="仿宋" w:hint="eastAsia"/>
          <w:sz w:val="24"/>
          <w:szCs w:val="24"/>
        </w:rPr>
        <w:t>表统计</w:t>
      </w:r>
      <w:r w:rsidR="00A83011">
        <w:rPr>
          <w:rFonts w:ascii="仿宋_GB2312" w:eastAsia="仿宋_GB2312" w:hAnsi="仿宋" w:hint="eastAsia"/>
          <w:sz w:val="24"/>
          <w:szCs w:val="24"/>
        </w:rPr>
        <w:t>，且不再反映在A02-2表中</w:t>
      </w:r>
      <w:r w:rsidR="00063458" w:rsidRPr="003666EA">
        <w:rPr>
          <w:rFonts w:ascii="仿宋_GB2312" w:eastAsia="仿宋_GB2312" w:hAnsi="仿宋" w:hint="eastAsia"/>
          <w:sz w:val="24"/>
          <w:szCs w:val="24"/>
        </w:rPr>
        <w:t>。即，</w:t>
      </w:r>
      <w:r w:rsidR="00823A07" w:rsidRPr="003666EA">
        <w:rPr>
          <w:rFonts w:ascii="仿宋_GB2312" w:eastAsia="仿宋_GB2312" w:hAnsi="仿宋" w:hint="eastAsia"/>
          <w:sz w:val="24"/>
          <w:szCs w:val="24"/>
        </w:rPr>
        <w:t>B0</w:t>
      </w:r>
      <w:r w:rsidR="00FF7E6E">
        <w:rPr>
          <w:rFonts w:ascii="仿宋_GB2312" w:eastAsia="仿宋_GB2312" w:hAnsi="仿宋" w:hint="eastAsia"/>
          <w:sz w:val="24"/>
          <w:szCs w:val="24"/>
        </w:rPr>
        <w:t>4</w:t>
      </w:r>
      <w:r w:rsidR="00823A07" w:rsidRPr="003666EA">
        <w:rPr>
          <w:rFonts w:ascii="仿宋_GB2312" w:eastAsia="仿宋_GB2312" w:hAnsi="仿宋" w:hint="eastAsia"/>
          <w:sz w:val="24"/>
          <w:szCs w:val="24"/>
        </w:rPr>
        <w:t>表应填写A的上月末余额（为0）、本月末余额（月末市值）、本月买入/卖出金额（为0）和本月非交易变动（为正值）。</w:t>
      </w:r>
      <w:r w:rsidR="00FF7E6E">
        <w:rPr>
          <w:rFonts w:ascii="仿宋_GB2312" w:eastAsia="仿宋_GB2312" w:hAnsi="仿宋" w:hint="eastAsia"/>
          <w:sz w:val="24"/>
          <w:szCs w:val="24"/>
        </w:rPr>
        <w:t>同时将B0407“投资者与本机构的关系”选择4，且本月非交易变动属于B0413“本月非交易变动：调整及重新分类至其他报表统计的金额”。</w:t>
      </w:r>
    </w:p>
    <w:p w:rsidR="00823A07" w:rsidRPr="003666EA" w:rsidRDefault="00823A07"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情况二：A撤资或减资，因此持有的表决权比例小于10%，则A的减资（撤资）应纳入A02-3统计(为负值)，但是其持有股权余额应纳入B0</w:t>
      </w:r>
      <w:r w:rsidR="00FF7E6E">
        <w:rPr>
          <w:rFonts w:ascii="仿宋_GB2312" w:eastAsia="仿宋_GB2312" w:hAnsi="仿宋" w:hint="eastAsia"/>
          <w:sz w:val="24"/>
          <w:szCs w:val="24"/>
        </w:rPr>
        <w:t>4</w:t>
      </w:r>
      <w:r w:rsidRPr="003666EA">
        <w:rPr>
          <w:rFonts w:ascii="仿宋_GB2312" w:eastAsia="仿宋_GB2312" w:hAnsi="仿宋" w:hint="eastAsia"/>
          <w:sz w:val="24"/>
          <w:szCs w:val="24"/>
        </w:rPr>
        <w:t>表统计</w:t>
      </w:r>
      <w:r w:rsidR="00A83011">
        <w:rPr>
          <w:rFonts w:ascii="仿宋_GB2312" w:eastAsia="仿宋_GB2312" w:hAnsi="仿宋" w:hint="eastAsia"/>
          <w:sz w:val="24"/>
          <w:szCs w:val="24"/>
        </w:rPr>
        <w:t>，且B不再反映在A02-2表中</w:t>
      </w:r>
      <w:r w:rsidRPr="003666EA">
        <w:rPr>
          <w:rFonts w:ascii="仿宋_GB2312" w:eastAsia="仿宋_GB2312" w:hAnsi="仿宋" w:hint="eastAsia"/>
          <w:sz w:val="24"/>
          <w:szCs w:val="24"/>
        </w:rPr>
        <w:t>。即，B0</w:t>
      </w:r>
      <w:r w:rsidR="00FF7E6E">
        <w:rPr>
          <w:rFonts w:ascii="仿宋_GB2312" w:eastAsia="仿宋_GB2312" w:hAnsi="仿宋" w:hint="eastAsia"/>
          <w:sz w:val="24"/>
          <w:szCs w:val="24"/>
        </w:rPr>
        <w:t>4</w:t>
      </w:r>
      <w:r w:rsidRPr="003666EA">
        <w:rPr>
          <w:rFonts w:ascii="仿宋_GB2312" w:eastAsia="仿宋_GB2312" w:hAnsi="仿宋" w:hint="eastAsia"/>
          <w:sz w:val="24"/>
          <w:szCs w:val="24"/>
        </w:rPr>
        <w:t>表应填写A的上月末余额（为0）、本月末余额</w:t>
      </w:r>
      <w:r w:rsidRPr="003666EA">
        <w:rPr>
          <w:rFonts w:ascii="仿宋_GB2312" w:eastAsia="仿宋_GB2312" w:hAnsi="仿宋" w:hint="eastAsia"/>
          <w:sz w:val="24"/>
          <w:szCs w:val="24"/>
        </w:rPr>
        <w:lastRenderedPageBreak/>
        <w:t>（月末市值）、本月买入/卖出金额（为0）和本月非交易变动（为正值）。</w:t>
      </w:r>
      <w:r w:rsidR="001959F3">
        <w:rPr>
          <w:rFonts w:ascii="仿宋_GB2312" w:eastAsia="仿宋_GB2312" w:hAnsi="仿宋" w:hint="eastAsia"/>
          <w:sz w:val="24"/>
          <w:szCs w:val="24"/>
        </w:rPr>
        <w:t>同时将B0407“投资者与本机构的关系”选择4，且本月非交易变动属于B0413“本月非交易变动：调整及重新分类至其他报表统计的金额”。</w:t>
      </w:r>
    </w:p>
    <w:p w:rsidR="00823A07" w:rsidRPr="003666EA" w:rsidRDefault="00801C07"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情况三：A完全撤资，因此持有表决权比例下降为0。则A的减资（撤资）应纳入A02-3统计(为负值)，且</w:t>
      </w:r>
      <w:r w:rsidR="006735C0">
        <w:rPr>
          <w:rFonts w:ascii="仿宋_GB2312" w:eastAsia="仿宋_GB2312" w:hAnsi="仿宋" w:hint="eastAsia"/>
          <w:sz w:val="24"/>
          <w:szCs w:val="24"/>
        </w:rPr>
        <w:t>无需</w:t>
      </w:r>
      <w:r w:rsidRPr="003666EA">
        <w:rPr>
          <w:rFonts w:ascii="仿宋_GB2312" w:eastAsia="仿宋_GB2312" w:hAnsi="仿宋" w:hint="eastAsia"/>
          <w:sz w:val="24"/>
          <w:szCs w:val="24"/>
        </w:rPr>
        <w:t>再</w:t>
      </w:r>
      <w:r w:rsidR="006735C0">
        <w:rPr>
          <w:rFonts w:ascii="仿宋_GB2312" w:eastAsia="仿宋_GB2312" w:hAnsi="仿宋" w:hint="eastAsia"/>
          <w:sz w:val="24"/>
          <w:szCs w:val="24"/>
        </w:rPr>
        <w:t>填写</w:t>
      </w:r>
      <w:r w:rsidRPr="003666EA">
        <w:rPr>
          <w:rFonts w:ascii="仿宋_GB2312" w:eastAsia="仿宋_GB2312" w:hAnsi="仿宋" w:hint="eastAsia"/>
          <w:sz w:val="24"/>
          <w:szCs w:val="24"/>
        </w:rPr>
        <w:t>投资存量数据。</w:t>
      </w:r>
    </w:p>
    <w:p w:rsidR="00C73F98" w:rsidRPr="003666EA" w:rsidRDefault="00801C07" w:rsidP="003666EA">
      <w:pPr>
        <w:spacing w:line="360" w:lineRule="auto"/>
        <w:ind w:firstLineChars="200" w:firstLine="480"/>
        <w:rPr>
          <w:rFonts w:ascii="仿宋_GB2312" w:eastAsia="仿宋_GB2312" w:hAnsi="仿宋"/>
          <w:color w:val="FF0000"/>
          <w:sz w:val="24"/>
          <w:szCs w:val="24"/>
        </w:rPr>
      </w:pPr>
      <w:r w:rsidRPr="003666EA">
        <w:rPr>
          <w:rFonts w:ascii="仿宋_GB2312" w:eastAsia="仿宋_GB2312" w:hAnsi="仿宋" w:hint="eastAsia"/>
          <w:sz w:val="24"/>
          <w:szCs w:val="24"/>
        </w:rPr>
        <w:t>情况四：A</w:t>
      </w:r>
      <w:r w:rsidR="004B7EB1" w:rsidRPr="003666EA">
        <w:rPr>
          <w:rFonts w:ascii="仿宋_GB2312" w:eastAsia="仿宋_GB2312" w:hAnsi="仿宋" w:hint="eastAsia"/>
          <w:sz w:val="24"/>
          <w:szCs w:val="24"/>
        </w:rPr>
        <w:t>既未增资也未撤资（减资），完全因B机构入股而被稀释。则无流量发生，仅在B0</w:t>
      </w:r>
      <w:r w:rsidR="001959F3">
        <w:rPr>
          <w:rFonts w:ascii="仿宋_GB2312" w:eastAsia="仿宋_GB2312" w:hAnsi="仿宋" w:hint="eastAsia"/>
          <w:sz w:val="24"/>
          <w:szCs w:val="24"/>
        </w:rPr>
        <w:t>4</w:t>
      </w:r>
      <w:r w:rsidR="004B7EB1" w:rsidRPr="003666EA">
        <w:rPr>
          <w:rFonts w:ascii="仿宋_GB2312" w:eastAsia="仿宋_GB2312" w:hAnsi="仿宋" w:hint="eastAsia"/>
          <w:sz w:val="24"/>
          <w:szCs w:val="24"/>
        </w:rPr>
        <w:t>表填写A的上月末余额（为0）、本月末余额（月末市值）、本月买入/卖出金额（为0）和本月非交易变动（为正值）。</w:t>
      </w:r>
      <w:r w:rsidR="001959F3">
        <w:rPr>
          <w:rFonts w:ascii="仿宋_GB2312" w:eastAsia="仿宋_GB2312" w:hAnsi="仿宋" w:hint="eastAsia"/>
          <w:sz w:val="24"/>
          <w:szCs w:val="24"/>
        </w:rPr>
        <w:t>同时将B0407“投资者与本机构的关系”选择4，且本月非交易变动属于B0413“本月非交易变动：调整及重新分类至其他报表统计的金额”。</w:t>
      </w:r>
    </w:p>
    <w:p w:rsidR="00C435F8" w:rsidRPr="003666EA" w:rsidRDefault="00C435F8" w:rsidP="003666EA">
      <w:pPr>
        <w:spacing w:line="360" w:lineRule="auto"/>
        <w:ind w:firstLineChars="200" w:firstLine="480"/>
        <w:rPr>
          <w:rFonts w:asciiTheme="minorEastAsia" w:hAnsiTheme="minorEastAsia"/>
          <w:sz w:val="24"/>
          <w:szCs w:val="24"/>
        </w:rPr>
      </w:pPr>
    </w:p>
    <w:p w:rsidR="00C435F8" w:rsidRPr="003666EA" w:rsidRDefault="00C435F8"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FA6D65" w:rsidRPr="003666EA">
        <w:rPr>
          <w:rFonts w:asciiTheme="minorEastAsia" w:hAnsiTheme="minorEastAsia" w:hint="eastAsia"/>
          <w:b/>
          <w:sz w:val="24"/>
          <w:szCs w:val="24"/>
        </w:rPr>
        <w:t>2</w:t>
      </w:r>
      <w:r w:rsidR="002B247B">
        <w:rPr>
          <w:rFonts w:asciiTheme="minorEastAsia" w:hAnsiTheme="minorEastAsia" w:hint="eastAsia"/>
          <w:b/>
          <w:sz w:val="24"/>
          <w:szCs w:val="24"/>
        </w:rPr>
        <w:t>3</w:t>
      </w:r>
      <w:r w:rsidRPr="003666EA">
        <w:rPr>
          <w:rFonts w:asciiTheme="minorEastAsia" w:hAnsiTheme="minorEastAsia" w:hint="eastAsia"/>
          <w:b/>
          <w:sz w:val="24"/>
          <w:szCs w:val="24"/>
        </w:rPr>
        <w:t>：A02表-外国来华直接投资中本机构合并会计账是否包含</w:t>
      </w:r>
      <w:r w:rsidR="00164192" w:rsidRPr="003666EA">
        <w:rPr>
          <w:rFonts w:asciiTheme="minorEastAsia" w:hAnsiTheme="minorEastAsia" w:hint="eastAsia"/>
          <w:b/>
          <w:sz w:val="24"/>
          <w:szCs w:val="24"/>
        </w:rPr>
        <w:t>申报主体控股</w:t>
      </w:r>
      <w:r w:rsidRPr="003666EA">
        <w:rPr>
          <w:rFonts w:asciiTheme="minorEastAsia" w:hAnsiTheme="minorEastAsia" w:hint="eastAsia"/>
          <w:b/>
          <w:sz w:val="24"/>
          <w:szCs w:val="24"/>
        </w:rPr>
        <w:t>的其他机构的账务？</w:t>
      </w:r>
    </w:p>
    <w:p w:rsidR="00C435F8" w:rsidRDefault="00C435F8"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是。</w:t>
      </w:r>
      <w:r w:rsidR="009D3CBB" w:rsidRPr="003666EA">
        <w:rPr>
          <w:rFonts w:ascii="仿宋_GB2312" w:eastAsia="仿宋_GB2312" w:hAnsi="仿宋" w:hint="eastAsia"/>
          <w:sz w:val="24"/>
          <w:szCs w:val="24"/>
        </w:rPr>
        <w:t>如果无法每月10日前填报上月数据，应进行合理估算，或</w:t>
      </w:r>
      <w:r w:rsidR="009031F8" w:rsidRPr="003666EA">
        <w:rPr>
          <w:rFonts w:ascii="仿宋_GB2312" w:eastAsia="仿宋_GB2312" w:hAnsi="仿宋" w:hint="eastAsia"/>
          <w:sz w:val="24"/>
          <w:szCs w:val="24"/>
        </w:rPr>
        <w:t>根据已</w:t>
      </w:r>
      <w:r w:rsidR="009D3CBB" w:rsidRPr="003666EA">
        <w:rPr>
          <w:rFonts w:ascii="仿宋_GB2312" w:eastAsia="仿宋_GB2312" w:hAnsi="仿宋" w:hint="eastAsia"/>
          <w:sz w:val="24"/>
          <w:szCs w:val="24"/>
        </w:rPr>
        <w:t>掌握的最新月</w:t>
      </w:r>
      <w:r w:rsidR="009031F8" w:rsidRPr="003666EA">
        <w:rPr>
          <w:rFonts w:ascii="仿宋_GB2312" w:eastAsia="仿宋_GB2312" w:hAnsi="仿宋" w:hint="eastAsia"/>
          <w:sz w:val="24"/>
          <w:szCs w:val="24"/>
        </w:rPr>
        <w:t>度</w:t>
      </w:r>
      <w:r w:rsidR="009D3CBB" w:rsidRPr="003666EA">
        <w:rPr>
          <w:rFonts w:ascii="仿宋_GB2312" w:eastAsia="仿宋_GB2312" w:hAnsi="仿宋" w:hint="eastAsia"/>
          <w:sz w:val="24"/>
          <w:szCs w:val="24"/>
        </w:rPr>
        <w:t>数据填报。</w:t>
      </w:r>
      <w:r w:rsidR="009031F8" w:rsidRPr="003666EA">
        <w:rPr>
          <w:rFonts w:ascii="仿宋_GB2312" w:eastAsia="仿宋_GB2312" w:hAnsi="仿宋" w:hint="eastAsia"/>
          <w:sz w:val="24"/>
          <w:szCs w:val="24"/>
        </w:rPr>
        <w:t>为确保系统中数据质量，申报机构应在获得</w:t>
      </w:r>
      <w:r w:rsidR="009D3CBB" w:rsidRPr="003666EA">
        <w:rPr>
          <w:rFonts w:ascii="仿宋_GB2312" w:eastAsia="仿宋_GB2312" w:hAnsi="仿宋" w:hint="eastAsia"/>
          <w:sz w:val="24"/>
          <w:szCs w:val="24"/>
        </w:rPr>
        <w:t>最终信息后</w:t>
      </w:r>
      <w:r w:rsidR="009031F8" w:rsidRPr="003666EA">
        <w:rPr>
          <w:rFonts w:ascii="仿宋_GB2312" w:eastAsia="仿宋_GB2312" w:hAnsi="仿宋" w:hint="eastAsia"/>
          <w:sz w:val="24"/>
          <w:szCs w:val="24"/>
        </w:rPr>
        <w:t>及时</w:t>
      </w:r>
      <w:r w:rsidR="009D3CBB" w:rsidRPr="003666EA">
        <w:rPr>
          <w:rFonts w:ascii="仿宋_GB2312" w:eastAsia="仿宋_GB2312" w:hAnsi="仿宋" w:hint="eastAsia"/>
          <w:sz w:val="24"/>
          <w:szCs w:val="24"/>
        </w:rPr>
        <w:t>对A02表</w:t>
      </w:r>
      <w:r w:rsidR="009031F8" w:rsidRPr="003666EA">
        <w:rPr>
          <w:rFonts w:ascii="仿宋_GB2312" w:eastAsia="仿宋_GB2312" w:hAnsi="仿宋" w:hint="eastAsia"/>
          <w:sz w:val="24"/>
          <w:szCs w:val="24"/>
        </w:rPr>
        <w:t>数据</w:t>
      </w:r>
      <w:r w:rsidR="009D3CBB" w:rsidRPr="003666EA">
        <w:rPr>
          <w:rFonts w:ascii="仿宋_GB2312" w:eastAsia="仿宋_GB2312" w:hAnsi="仿宋" w:hint="eastAsia"/>
          <w:sz w:val="24"/>
          <w:szCs w:val="24"/>
        </w:rPr>
        <w:t>进行更新处理。</w:t>
      </w:r>
    </w:p>
    <w:p w:rsidR="00C435F8" w:rsidRPr="003666EA" w:rsidRDefault="00C435F8" w:rsidP="003666EA">
      <w:pPr>
        <w:spacing w:line="360" w:lineRule="auto"/>
        <w:ind w:firstLineChars="200" w:firstLine="480"/>
        <w:rPr>
          <w:rFonts w:asciiTheme="minorEastAsia" w:hAnsiTheme="minorEastAsia"/>
          <w:sz w:val="24"/>
          <w:szCs w:val="24"/>
        </w:rPr>
      </w:pPr>
    </w:p>
    <w:p w:rsidR="00C73F98" w:rsidRPr="003666EA" w:rsidRDefault="00C435F8"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问题2</w:t>
      </w:r>
      <w:r w:rsidR="0050795F">
        <w:rPr>
          <w:rFonts w:asciiTheme="minorEastAsia" w:hAnsiTheme="minorEastAsia" w:hint="eastAsia"/>
          <w:b/>
          <w:sz w:val="24"/>
          <w:szCs w:val="24"/>
        </w:rPr>
        <w:t>4</w:t>
      </w:r>
      <w:r w:rsidRPr="003666EA">
        <w:rPr>
          <w:rFonts w:asciiTheme="minorEastAsia" w:hAnsiTheme="minorEastAsia" w:hint="eastAsia"/>
          <w:b/>
          <w:sz w:val="24"/>
          <w:szCs w:val="24"/>
        </w:rPr>
        <w:t>：境内某银行外资股东占比为20%，是否应填境内联营机构？</w:t>
      </w:r>
    </w:p>
    <w:p w:rsidR="00C435F8" w:rsidRPr="003666EA" w:rsidRDefault="00C435F8" w:rsidP="006629EB">
      <w:pPr>
        <w:spacing w:line="360" w:lineRule="auto"/>
        <w:rPr>
          <w:rFonts w:ascii="仿宋" w:eastAsia="仿宋"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该银行（境内联营机构）应</w:t>
      </w:r>
      <w:r w:rsidR="002740EC" w:rsidRPr="003666EA">
        <w:rPr>
          <w:rFonts w:ascii="仿宋_GB2312" w:eastAsia="仿宋_GB2312" w:hAnsi="仿宋" w:hint="eastAsia"/>
          <w:sz w:val="24"/>
          <w:szCs w:val="24"/>
        </w:rPr>
        <w:t>在Z03表中填写其股权架构，同时</w:t>
      </w:r>
      <w:r w:rsidRPr="003666EA">
        <w:rPr>
          <w:rFonts w:ascii="仿宋_GB2312" w:eastAsia="仿宋_GB2312" w:hAnsi="仿宋" w:hint="eastAsia"/>
          <w:sz w:val="24"/>
          <w:szCs w:val="24"/>
        </w:rPr>
        <w:t>填报A02表。</w:t>
      </w:r>
    </w:p>
    <w:p w:rsidR="00C435F8" w:rsidRPr="003666EA" w:rsidRDefault="00C435F8" w:rsidP="003666EA">
      <w:pPr>
        <w:spacing w:line="360" w:lineRule="auto"/>
        <w:ind w:firstLineChars="200" w:firstLine="480"/>
        <w:rPr>
          <w:rFonts w:asciiTheme="minorEastAsia" w:hAnsiTheme="minorEastAsia"/>
          <w:sz w:val="24"/>
          <w:szCs w:val="24"/>
        </w:rPr>
      </w:pPr>
    </w:p>
    <w:p w:rsidR="00C435F8" w:rsidRPr="003666EA" w:rsidRDefault="00807080" w:rsidP="006629EB">
      <w:pPr>
        <w:spacing w:line="360" w:lineRule="auto"/>
        <w:rPr>
          <w:rFonts w:asciiTheme="minorEastAsia" w:hAnsiTheme="minorEastAsia"/>
          <w:color w:val="FF0000"/>
          <w:sz w:val="24"/>
          <w:szCs w:val="24"/>
        </w:rPr>
      </w:pPr>
      <w:r w:rsidRPr="003666EA">
        <w:rPr>
          <w:rFonts w:asciiTheme="minorEastAsia" w:hAnsiTheme="minorEastAsia" w:hint="eastAsia"/>
          <w:b/>
          <w:sz w:val="24"/>
          <w:szCs w:val="24"/>
        </w:rPr>
        <w:t>问题2</w:t>
      </w:r>
      <w:r w:rsidR="0050795F">
        <w:rPr>
          <w:rFonts w:asciiTheme="minorEastAsia" w:hAnsiTheme="minorEastAsia" w:hint="eastAsia"/>
          <w:b/>
          <w:sz w:val="24"/>
          <w:szCs w:val="24"/>
        </w:rPr>
        <w:t>5</w:t>
      </w:r>
      <w:r w:rsidRPr="003666EA">
        <w:rPr>
          <w:rFonts w:asciiTheme="minorEastAsia" w:hAnsiTheme="minorEastAsia" w:hint="eastAsia"/>
          <w:b/>
          <w:sz w:val="24"/>
          <w:szCs w:val="24"/>
        </w:rPr>
        <w:t>：A02表与B04表是以10%</w:t>
      </w:r>
      <w:r w:rsidR="0070361E" w:rsidRPr="003666EA">
        <w:rPr>
          <w:rFonts w:asciiTheme="minorEastAsia" w:hAnsiTheme="minorEastAsia" w:hint="eastAsia"/>
          <w:b/>
          <w:sz w:val="24"/>
          <w:szCs w:val="24"/>
        </w:rPr>
        <w:t>的表决权或持股比例</w:t>
      </w:r>
      <w:r w:rsidRPr="003666EA">
        <w:rPr>
          <w:rFonts w:asciiTheme="minorEastAsia" w:hAnsiTheme="minorEastAsia" w:hint="eastAsia"/>
          <w:b/>
          <w:sz w:val="24"/>
          <w:szCs w:val="24"/>
        </w:rPr>
        <w:t>为分界点，请问</w:t>
      </w:r>
      <w:r w:rsidR="0070361E" w:rsidRPr="003666EA">
        <w:rPr>
          <w:rFonts w:asciiTheme="minorEastAsia" w:hAnsiTheme="minorEastAsia" w:hint="eastAsia"/>
          <w:b/>
          <w:sz w:val="24"/>
          <w:szCs w:val="24"/>
        </w:rPr>
        <w:t>对于既有A股也有H股的境内</w:t>
      </w:r>
      <w:r w:rsidRPr="003666EA">
        <w:rPr>
          <w:rFonts w:asciiTheme="minorEastAsia" w:hAnsiTheme="minorEastAsia" w:hint="eastAsia"/>
          <w:b/>
          <w:sz w:val="24"/>
          <w:szCs w:val="24"/>
        </w:rPr>
        <w:t>金融机构</w:t>
      </w:r>
      <w:r w:rsidR="0070361E" w:rsidRPr="003666EA">
        <w:rPr>
          <w:rFonts w:asciiTheme="minorEastAsia" w:hAnsiTheme="minorEastAsia" w:hint="eastAsia"/>
          <w:b/>
          <w:sz w:val="24"/>
          <w:szCs w:val="24"/>
        </w:rPr>
        <w:t>而言</w:t>
      </w:r>
      <w:r w:rsidRPr="003666EA">
        <w:rPr>
          <w:rFonts w:asciiTheme="minorEastAsia" w:hAnsiTheme="minorEastAsia" w:hint="eastAsia"/>
          <w:b/>
          <w:sz w:val="24"/>
          <w:szCs w:val="24"/>
        </w:rPr>
        <w:t>，这一比率应如何计算？是以境内外合计股份为分母，还是仅以境外股份为分母？</w:t>
      </w:r>
      <w:r w:rsidR="0070361E" w:rsidRPr="003666EA">
        <w:rPr>
          <w:rFonts w:asciiTheme="minorEastAsia" w:hAnsiTheme="minorEastAsia"/>
          <w:color w:val="FF0000"/>
          <w:sz w:val="24"/>
          <w:szCs w:val="24"/>
        </w:rPr>
        <w:t xml:space="preserve"> </w:t>
      </w:r>
    </w:p>
    <w:p w:rsidR="00807080" w:rsidRPr="003666EA" w:rsidRDefault="00807080"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应以境内外合计股份为基础来计算10%的直接投资分界点。</w:t>
      </w:r>
    </w:p>
    <w:p w:rsidR="00807080" w:rsidRPr="003666EA" w:rsidRDefault="00807080" w:rsidP="003666EA">
      <w:pPr>
        <w:spacing w:line="360" w:lineRule="auto"/>
        <w:ind w:firstLineChars="200" w:firstLine="480"/>
        <w:rPr>
          <w:rFonts w:asciiTheme="minorEastAsia" w:hAnsiTheme="minorEastAsia"/>
          <w:sz w:val="24"/>
          <w:szCs w:val="24"/>
        </w:rPr>
      </w:pPr>
    </w:p>
    <w:p w:rsidR="00807080" w:rsidRPr="003666EA" w:rsidRDefault="00807080" w:rsidP="006629EB">
      <w:pPr>
        <w:spacing w:line="360" w:lineRule="auto"/>
        <w:rPr>
          <w:rFonts w:asciiTheme="minorEastAsia" w:hAnsiTheme="minorEastAsia"/>
          <w:b/>
          <w:color w:val="00B0F0"/>
          <w:sz w:val="24"/>
          <w:szCs w:val="24"/>
        </w:rPr>
      </w:pPr>
      <w:r w:rsidRPr="003666EA">
        <w:rPr>
          <w:rFonts w:asciiTheme="minorEastAsia" w:hAnsiTheme="minorEastAsia" w:hint="eastAsia"/>
          <w:b/>
          <w:sz w:val="24"/>
          <w:szCs w:val="24"/>
        </w:rPr>
        <w:t>问题2</w:t>
      </w:r>
      <w:r w:rsidR="0050795F">
        <w:rPr>
          <w:rFonts w:asciiTheme="minorEastAsia" w:hAnsiTheme="minorEastAsia" w:hint="eastAsia"/>
          <w:b/>
          <w:sz w:val="24"/>
          <w:szCs w:val="24"/>
        </w:rPr>
        <w:t>6</w:t>
      </w:r>
      <w:r w:rsidRPr="003666EA">
        <w:rPr>
          <w:rFonts w:asciiTheme="minorEastAsia" w:hAnsiTheme="minorEastAsia" w:hint="eastAsia"/>
          <w:b/>
          <w:sz w:val="24"/>
          <w:szCs w:val="24"/>
        </w:rPr>
        <w:t>：境外机构以战略投资者身份跨境持有境内上市银行表决权≥10%，同时，通过QFII</w:t>
      </w:r>
      <w:r w:rsidR="00B32F1D" w:rsidRPr="003666EA">
        <w:rPr>
          <w:rFonts w:asciiTheme="minorEastAsia" w:hAnsiTheme="minorEastAsia" w:hint="eastAsia"/>
          <w:b/>
          <w:sz w:val="24"/>
          <w:szCs w:val="24"/>
        </w:rPr>
        <w:t>（或RQFII）</w:t>
      </w:r>
      <w:r w:rsidRPr="003666EA">
        <w:rPr>
          <w:rFonts w:asciiTheme="minorEastAsia" w:hAnsiTheme="minorEastAsia" w:hint="eastAsia"/>
          <w:b/>
          <w:sz w:val="24"/>
          <w:szCs w:val="24"/>
        </w:rPr>
        <w:t>增持该行股份，其通过QFII</w:t>
      </w:r>
      <w:r w:rsidR="00B32F1D" w:rsidRPr="003666EA">
        <w:rPr>
          <w:rFonts w:asciiTheme="minorEastAsia" w:hAnsiTheme="minorEastAsia" w:hint="eastAsia"/>
          <w:b/>
          <w:sz w:val="24"/>
          <w:szCs w:val="24"/>
        </w:rPr>
        <w:t>（或RQFII）</w:t>
      </w:r>
      <w:r w:rsidRPr="003666EA">
        <w:rPr>
          <w:rFonts w:asciiTheme="minorEastAsia" w:hAnsiTheme="minorEastAsia" w:hint="eastAsia"/>
          <w:b/>
          <w:sz w:val="24"/>
          <w:szCs w:val="24"/>
        </w:rPr>
        <w:t>持有的股份是否</w:t>
      </w:r>
      <w:r w:rsidR="00CA34B3" w:rsidRPr="003666EA">
        <w:rPr>
          <w:rFonts w:asciiTheme="minorEastAsia" w:hAnsiTheme="minorEastAsia" w:hint="eastAsia"/>
          <w:b/>
          <w:sz w:val="24"/>
          <w:szCs w:val="24"/>
        </w:rPr>
        <w:t>应</w:t>
      </w:r>
      <w:r w:rsidRPr="003666EA">
        <w:rPr>
          <w:rFonts w:asciiTheme="minorEastAsia" w:hAnsiTheme="minorEastAsia" w:hint="eastAsia"/>
          <w:b/>
          <w:sz w:val="24"/>
          <w:szCs w:val="24"/>
        </w:rPr>
        <w:t>由境内上市银行统计在A02表内？</w:t>
      </w:r>
      <w:r w:rsidR="00F07624" w:rsidRPr="003666EA">
        <w:rPr>
          <w:rFonts w:asciiTheme="minorEastAsia" w:hAnsiTheme="minorEastAsia" w:hint="eastAsia"/>
          <w:b/>
          <w:sz w:val="24"/>
          <w:szCs w:val="24"/>
        </w:rPr>
        <w:t>境内托管行是否还应报送对应的QFII（或RQFII）数据？</w:t>
      </w:r>
      <w:r w:rsidR="00CA34B3" w:rsidRPr="003666EA">
        <w:rPr>
          <w:rFonts w:asciiTheme="minorEastAsia" w:hAnsiTheme="minorEastAsia"/>
          <w:b/>
          <w:color w:val="00B0F0"/>
          <w:sz w:val="24"/>
          <w:szCs w:val="24"/>
        </w:rPr>
        <w:t xml:space="preserve"> </w:t>
      </w:r>
    </w:p>
    <w:p w:rsidR="00B32F1D" w:rsidRPr="003666EA" w:rsidRDefault="00B32F1D"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lastRenderedPageBreak/>
        <w:t xml:space="preserve">    同样，</w:t>
      </w:r>
      <w:r w:rsidR="00CA34B3" w:rsidRPr="003666EA">
        <w:rPr>
          <w:rFonts w:asciiTheme="minorEastAsia" w:hAnsiTheme="minorEastAsia" w:hint="eastAsia"/>
          <w:b/>
          <w:sz w:val="24"/>
          <w:szCs w:val="24"/>
        </w:rPr>
        <w:t>境内某金融机构持有境外单家机构表决权或股权比例≥10%，其投资部分或全部通过QDII方式实现。则该境内金融机构是否应申报</w:t>
      </w:r>
      <w:r w:rsidRPr="003666EA">
        <w:rPr>
          <w:rFonts w:asciiTheme="minorEastAsia" w:hAnsiTheme="minorEastAsia" w:hint="eastAsia"/>
          <w:b/>
          <w:sz w:val="24"/>
          <w:szCs w:val="24"/>
        </w:rPr>
        <w:t>A01表（对外直接投资），</w:t>
      </w:r>
      <w:r w:rsidR="00CA34B3" w:rsidRPr="003666EA">
        <w:rPr>
          <w:rFonts w:asciiTheme="minorEastAsia" w:hAnsiTheme="minorEastAsia" w:hint="eastAsia"/>
          <w:b/>
          <w:sz w:val="24"/>
          <w:szCs w:val="24"/>
        </w:rPr>
        <w:t>其境内托管机构是否应在</w:t>
      </w:r>
      <w:r w:rsidRPr="003666EA">
        <w:rPr>
          <w:rFonts w:asciiTheme="minorEastAsia" w:hAnsiTheme="minorEastAsia" w:hint="eastAsia"/>
          <w:b/>
          <w:sz w:val="24"/>
          <w:szCs w:val="24"/>
        </w:rPr>
        <w:t>H02表（为居民托管业务统计）中</w:t>
      </w:r>
      <w:r w:rsidR="00CA34B3" w:rsidRPr="003666EA">
        <w:rPr>
          <w:rFonts w:asciiTheme="minorEastAsia" w:hAnsiTheme="minorEastAsia" w:hint="eastAsia"/>
          <w:b/>
          <w:sz w:val="24"/>
          <w:szCs w:val="24"/>
        </w:rPr>
        <w:t>反映通过QDII方式投资的部分</w:t>
      </w:r>
      <w:r w:rsidRPr="003666EA">
        <w:rPr>
          <w:rFonts w:asciiTheme="minorEastAsia" w:hAnsiTheme="minorEastAsia" w:hint="eastAsia"/>
          <w:b/>
          <w:sz w:val="24"/>
          <w:szCs w:val="24"/>
        </w:rPr>
        <w:t>？</w:t>
      </w:r>
    </w:p>
    <w:p w:rsidR="007761C4" w:rsidRPr="003666EA" w:rsidRDefault="00807080"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7761C4" w:rsidRPr="003666EA">
        <w:rPr>
          <w:rFonts w:ascii="仿宋_GB2312" w:eastAsia="仿宋_GB2312" w:hAnsi="仿宋" w:hint="eastAsia"/>
          <w:sz w:val="24"/>
          <w:szCs w:val="24"/>
        </w:rPr>
        <w:t>首先，无论境内机构是自身直接跨境还是通过境内托管方式进行对外投资（或接受境外投资），只要上月末或本月末境内外实体跨境持有表决权比例≥10%的，均应在A01或A02表下</w:t>
      </w:r>
      <w:r w:rsidR="00FD1278" w:rsidRPr="003666EA">
        <w:rPr>
          <w:rFonts w:ascii="仿宋_GB2312" w:eastAsia="仿宋_GB2312" w:hAnsi="仿宋" w:hint="eastAsia"/>
          <w:sz w:val="24"/>
          <w:szCs w:val="24"/>
        </w:rPr>
        <w:t>合并</w:t>
      </w:r>
      <w:r w:rsidR="007761C4" w:rsidRPr="003666EA">
        <w:rPr>
          <w:rFonts w:ascii="仿宋_GB2312" w:eastAsia="仿宋_GB2312" w:hAnsi="仿宋" w:hint="eastAsia"/>
          <w:sz w:val="24"/>
          <w:szCs w:val="24"/>
        </w:rPr>
        <w:t>报送对应存量和流量信息。</w:t>
      </w:r>
    </w:p>
    <w:p w:rsidR="007761C4" w:rsidRPr="003666EA" w:rsidRDefault="007761C4"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其次，对于QFII/RQFII/QDII等业务的境内托管机构而言，无论其委托人跨境持有表决权比例是否≥10%，均应将其所掌握托管数据纳入H01或H02表统计。</w:t>
      </w:r>
    </w:p>
    <w:p w:rsidR="009856BF" w:rsidRPr="003666EA" w:rsidRDefault="007761C4"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第三，对于A01（A02）与H02（H01）之间可能相互重叠的部分，</w:t>
      </w:r>
      <w:r w:rsidR="00EA5655" w:rsidRPr="003666EA">
        <w:rPr>
          <w:rFonts w:ascii="仿宋_GB2312" w:eastAsia="仿宋_GB2312" w:hAnsi="仿宋" w:hint="eastAsia"/>
          <w:sz w:val="24"/>
          <w:szCs w:val="24"/>
        </w:rPr>
        <w:t>境内托管行与境内外委托人（即QFII/RQFII/QDII）应就数据</w:t>
      </w:r>
      <w:r w:rsidR="00CB003A" w:rsidRPr="003666EA">
        <w:rPr>
          <w:rFonts w:ascii="仿宋_GB2312" w:eastAsia="仿宋_GB2312" w:hAnsi="仿宋" w:hint="eastAsia"/>
          <w:sz w:val="24"/>
          <w:szCs w:val="24"/>
        </w:rPr>
        <w:t>报送</w:t>
      </w:r>
      <w:r w:rsidR="00EA5655" w:rsidRPr="003666EA">
        <w:rPr>
          <w:rFonts w:ascii="仿宋_GB2312" w:eastAsia="仿宋_GB2312" w:hAnsi="仿宋" w:hint="eastAsia"/>
          <w:sz w:val="24"/>
          <w:szCs w:val="24"/>
        </w:rPr>
        <w:t>的准确性进行协调。</w:t>
      </w:r>
    </w:p>
    <w:p w:rsidR="007761C4" w:rsidRPr="003666EA" w:rsidRDefault="009856BF"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数据协调的基本原则是：当委托人与投资工具发行人之间存在关联关系时，应在H01表的H0111（非居民委托人与境内发行人（对手方）的关系）和H02表的H0212（投资工具发行人与居民委托人的关系）中相应选择1、2或3，同时准确划分H01表下境内发行人以及H02表下居民委托人所属部门。</w:t>
      </w:r>
    </w:p>
    <w:p w:rsidR="00465754" w:rsidRPr="003666EA" w:rsidRDefault="00465754" w:rsidP="006629EB">
      <w:pPr>
        <w:spacing w:line="360" w:lineRule="auto"/>
        <w:ind w:firstLine="420"/>
        <w:rPr>
          <w:rFonts w:ascii="仿宋_GB2312" w:eastAsia="仿宋_GB2312" w:hAnsi="仿宋"/>
          <w:sz w:val="24"/>
          <w:szCs w:val="24"/>
        </w:rPr>
      </w:pPr>
      <w:r w:rsidRPr="003666EA">
        <w:rPr>
          <w:rFonts w:ascii="仿宋_GB2312" w:eastAsia="仿宋_GB2312" w:hAnsi="仿宋" w:hint="eastAsia"/>
          <w:sz w:val="24"/>
          <w:szCs w:val="24"/>
        </w:rPr>
        <w:t>因此，</w:t>
      </w:r>
      <w:r w:rsidR="003B123C" w:rsidRPr="003666EA">
        <w:rPr>
          <w:rFonts w:ascii="仿宋_GB2312" w:eastAsia="仿宋_GB2312" w:hAnsi="仿宋" w:hint="eastAsia"/>
          <w:sz w:val="24"/>
          <w:szCs w:val="24"/>
        </w:rPr>
        <w:t>如果境外机构以战略投资者身份跨境持有境内上市银行表决权，同时，通过QFII（或RQFII</w:t>
      </w:r>
      <w:r w:rsidRPr="003666EA">
        <w:rPr>
          <w:rFonts w:ascii="仿宋_GB2312" w:eastAsia="仿宋_GB2312" w:hAnsi="仿宋" w:hint="eastAsia"/>
          <w:sz w:val="24"/>
          <w:szCs w:val="24"/>
        </w:rPr>
        <w:t>）持有</w:t>
      </w:r>
      <w:r w:rsidR="00CB003A" w:rsidRPr="003666EA">
        <w:rPr>
          <w:rFonts w:ascii="仿宋_GB2312" w:eastAsia="仿宋_GB2312" w:hAnsi="仿宋" w:hint="eastAsia"/>
          <w:sz w:val="24"/>
          <w:szCs w:val="24"/>
        </w:rPr>
        <w:t>该行股份，且两渠道投资</w:t>
      </w:r>
      <w:r w:rsidRPr="003666EA">
        <w:rPr>
          <w:rFonts w:ascii="仿宋_GB2312" w:eastAsia="仿宋_GB2312" w:hAnsi="仿宋" w:hint="eastAsia"/>
          <w:sz w:val="24"/>
          <w:szCs w:val="24"/>
        </w:rPr>
        <w:t>合并</w:t>
      </w:r>
      <w:r w:rsidR="00CB003A" w:rsidRPr="003666EA">
        <w:rPr>
          <w:rFonts w:ascii="仿宋_GB2312" w:eastAsia="仿宋_GB2312" w:hAnsi="仿宋" w:hint="eastAsia"/>
          <w:sz w:val="24"/>
          <w:szCs w:val="24"/>
        </w:rPr>
        <w:t>计算</w:t>
      </w:r>
      <w:r w:rsidRPr="003666EA">
        <w:rPr>
          <w:rFonts w:ascii="仿宋_GB2312" w:eastAsia="仿宋_GB2312" w:hAnsi="仿宋" w:hint="eastAsia"/>
          <w:sz w:val="24"/>
          <w:szCs w:val="24"/>
        </w:rPr>
        <w:t>后，境外机构持有该境内上市银行表决权≥10%</w:t>
      </w:r>
      <w:r w:rsidR="00CB003A" w:rsidRPr="003666EA">
        <w:rPr>
          <w:rFonts w:ascii="仿宋_GB2312" w:eastAsia="仿宋_GB2312" w:hAnsi="仿宋" w:hint="eastAsia"/>
          <w:sz w:val="24"/>
          <w:szCs w:val="24"/>
        </w:rPr>
        <w:t>的</w:t>
      </w:r>
      <w:r w:rsidRPr="003666EA">
        <w:rPr>
          <w:rFonts w:ascii="仿宋_GB2312" w:eastAsia="仿宋_GB2312" w:hAnsi="仿宋" w:hint="eastAsia"/>
          <w:sz w:val="24"/>
          <w:szCs w:val="24"/>
        </w:rPr>
        <w:t>，</w:t>
      </w:r>
      <w:r w:rsidR="00CB003A" w:rsidRPr="003666EA">
        <w:rPr>
          <w:rFonts w:ascii="仿宋_GB2312" w:eastAsia="仿宋_GB2312" w:hAnsi="仿宋" w:hint="eastAsia"/>
          <w:sz w:val="24"/>
          <w:szCs w:val="24"/>
        </w:rPr>
        <w:t>应</w:t>
      </w:r>
      <w:r w:rsidRPr="003666EA">
        <w:rPr>
          <w:rFonts w:ascii="仿宋_GB2312" w:eastAsia="仿宋_GB2312" w:hAnsi="仿宋" w:hint="eastAsia"/>
          <w:sz w:val="24"/>
          <w:szCs w:val="24"/>
        </w:rPr>
        <w:t>：</w:t>
      </w:r>
    </w:p>
    <w:p w:rsidR="00465754" w:rsidRPr="003666EA" w:rsidRDefault="00465754" w:rsidP="006629EB">
      <w:pPr>
        <w:spacing w:line="360" w:lineRule="auto"/>
        <w:ind w:firstLine="420"/>
        <w:rPr>
          <w:rFonts w:ascii="仿宋_GB2312" w:eastAsia="仿宋_GB2312" w:hAnsi="仿宋"/>
          <w:sz w:val="24"/>
          <w:szCs w:val="24"/>
        </w:rPr>
      </w:pPr>
      <w:r w:rsidRPr="003666EA">
        <w:rPr>
          <w:rFonts w:ascii="仿宋_GB2312" w:eastAsia="仿宋_GB2312" w:hAnsi="仿宋" w:hint="eastAsia"/>
          <w:sz w:val="24"/>
          <w:szCs w:val="24"/>
        </w:rPr>
        <w:t>一方面，境外机构在境内的托管机构应将该</w:t>
      </w:r>
      <w:r w:rsidR="003B123C" w:rsidRPr="003666EA">
        <w:rPr>
          <w:rFonts w:ascii="仿宋_GB2312" w:eastAsia="仿宋_GB2312" w:hAnsi="仿宋" w:hint="eastAsia"/>
          <w:sz w:val="24"/>
          <w:szCs w:val="24"/>
        </w:rPr>
        <w:t>QFII（或RQFII）持有的股份申报H01表中</w:t>
      </w:r>
      <w:r w:rsidRPr="003666EA">
        <w:rPr>
          <w:rFonts w:ascii="仿宋_GB2312" w:eastAsia="仿宋_GB2312" w:hAnsi="仿宋" w:hint="eastAsia"/>
          <w:sz w:val="24"/>
          <w:szCs w:val="24"/>
        </w:rPr>
        <w:t>。其中，H0110应选择3，</w:t>
      </w:r>
      <w:r w:rsidR="003B123C" w:rsidRPr="003666EA">
        <w:rPr>
          <w:rFonts w:ascii="仿宋_GB2312" w:eastAsia="仿宋_GB2312" w:hAnsi="仿宋" w:hint="eastAsia"/>
          <w:sz w:val="24"/>
          <w:szCs w:val="24"/>
        </w:rPr>
        <w:t>H0111</w:t>
      </w:r>
      <w:r w:rsidRPr="003666EA">
        <w:rPr>
          <w:rFonts w:ascii="仿宋_GB2312" w:eastAsia="仿宋_GB2312" w:hAnsi="仿宋" w:hint="eastAsia"/>
          <w:sz w:val="24"/>
          <w:szCs w:val="24"/>
        </w:rPr>
        <w:t>应</w:t>
      </w:r>
      <w:r w:rsidR="003B123C" w:rsidRPr="003666EA">
        <w:rPr>
          <w:rFonts w:ascii="仿宋_GB2312" w:eastAsia="仿宋_GB2312" w:hAnsi="仿宋" w:hint="eastAsia"/>
          <w:sz w:val="24"/>
          <w:szCs w:val="24"/>
        </w:rPr>
        <w:t>选择1（非居民委托人是境内工具发行人的境外直接投资者，即持有境内对手方表决权≥10%）</w:t>
      </w:r>
      <w:r w:rsidRPr="003666EA">
        <w:rPr>
          <w:rFonts w:ascii="仿宋_GB2312" w:eastAsia="仿宋_GB2312" w:hAnsi="仿宋" w:hint="eastAsia"/>
          <w:sz w:val="24"/>
          <w:szCs w:val="24"/>
        </w:rPr>
        <w:t>。</w:t>
      </w:r>
    </w:p>
    <w:p w:rsidR="003B123C" w:rsidRPr="003666EA" w:rsidRDefault="00465754" w:rsidP="006629EB">
      <w:pPr>
        <w:spacing w:line="360" w:lineRule="auto"/>
        <w:ind w:firstLine="420"/>
        <w:rPr>
          <w:rFonts w:ascii="仿宋_GB2312" w:eastAsia="仿宋_GB2312" w:hAnsi="仿宋"/>
          <w:sz w:val="24"/>
          <w:szCs w:val="24"/>
        </w:rPr>
      </w:pPr>
      <w:r w:rsidRPr="003666EA">
        <w:rPr>
          <w:rFonts w:ascii="仿宋_GB2312" w:eastAsia="仿宋_GB2312" w:hAnsi="仿宋" w:hint="eastAsia"/>
          <w:sz w:val="24"/>
          <w:szCs w:val="24"/>
        </w:rPr>
        <w:t>另一方面</w:t>
      </w:r>
      <w:r w:rsidR="003B123C" w:rsidRPr="003666EA">
        <w:rPr>
          <w:rFonts w:ascii="仿宋_GB2312" w:eastAsia="仿宋_GB2312" w:hAnsi="仿宋" w:hint="eastAsia"/>
          <w:sz w:val="24"/>
          <w:szCs w:val="24"/>
        </w:rPr>
        <w:t>，</w:t>
      </w:r>
      <w:r w:rsidRPr="003666EA">
        <w:rPr>
          <w:rFonts w:ascii="仿宋_GB2312" w:eastAsia="仿宋_GB2312" w:hAnsi="仿宋" w:hint="eastAsia"/>
          <w:sz w:val="24"/>
          <w:szCs w:val="24"/>
        </w:rPr>
        <w:t>该境内银行应</w:t>
      </w:r>
      <w:r w:rsidR="003B123C" w:rsidRPr="003666EA">
        <w:rPr>
          <w:rFonts w:ascii="仿宋_GB2312" w:eastAsia="仿宋_GB2312" w:hAnsi="仿宋" w:hint="eastAsia"/>
          <w:sz w:val="24"/>
          <w:szCs w:val="24"/>
        </w:rPr>
        <w:t>在A02</w:t>
      </w:r>
      <w:r w:rsidRPr="003666EA">
        <w:rPr>
          <w:rFonts w:ascii="仿宋_GB2312" w:eastAsia="仿宋_GB2312" w:hAnsi="仿宋" w:hint="eastAsia"/>
          <w:sz w:val="24"/>
          <w:szCs w:val="24"/>
        </w:rPr>
        <w:t>表（外国来华直接投资）中合并处理境外机构对其进行的投资，并按照合并的持股比例填报存量</w:t>
      </w:r>
      <w:r w:rsidR="0079373E" w:rsidRPr="003666EA">
        <w:rPr>
          <w:rFonts w:ascii="仿宋_GB2312" w:eastAsia="仿宋_GB2312" w:hAnsi="仿宋" w:hint="eastAsia"/>
          <w:sz w:val="24"/>
          <w:szCs w:val="24"/>
        </w:rPr>
        <w:t>。</w:t>
      </w:r>
    </w:p>
    <w:p w:rsidR="0079373E" w:rsidRPr="003666EA" w:rsidRDefault="0079373E" w:rsidP="006629EB">
      <w:pPr>
        <w:spacing w:line="360" w:lineRule="auto"/>
        <w:ind w:firstLine="420"/>
        <w:rPr>
          <w:rFonts w:ascii="仿宋_GB2312" w:eastAsia="仿宋_GB2312" w:hAnsi="仿宋"/>
          <w:sz w:val="24"/>
          <w:szCs w:val="24"/>
        </w:rPr>
      </w:pPr>
      <w:r w:rsidRPr="003666EA">
        <w:rPr>
          <w:rFonts w:ascii="仿宋_GB2312" w:eastAsia="仿宋_GB2312" w:hAnsi="仿宋" w:hint="eastAsia"/>
          <w:sz w:val="24"/>
          <w:szCs w:val="24"/>
        </w:rPr>
        <w:t>同理，如QDII机构对单家境外机构的股权超过了10%，</w:t>
      </w:r>
      <w:r w:rsidR="00066A41" w:rsidRPr="003666EA">
        <w:rPr>
          <w:rFonts w:ascii="仿宋_GB2312" w:eastAsia="仿宋_GB2312" w:hAnsi="仿宋" w:hint="eastAsia"/>
          <w:sz w:val="24"/>
          <w:szCs w:val="24"/>
        </w:rPr>
        <w:t>则</w:t>
      </w:r>
      <w:r w:rsidRPr="003666EA">
        <w:rPr>
          <w:rFonts w:ascii="仿宋_GB2312" w:eastAsia="仿宋_GB2312" w:hAnsi="仿宋" w:hint="eastAsia"/>
          <w:sz w:val="24"/>
          <w:szCs w:val="24"/>
        </w:rPr>
        <w:t>通过QDII持有的股权应</w:t>
      </w:r>
      <w:r w:rsidR="00066A41" w:rsidRPr="003666EA">
        <w:rPr>
          <w:rFonts w:ascii="仿宋_GB2312" w:eastAsia="仿宋_GB2312" w:hAnsi="仿宋" w:hint="eastAsia"/>
          <w:sz w:val="24"/>
          <w:szCs w:val="24"/>
        </w:rPr>
        <w:t>申报在</w:t>
      </w:r>
      <w:r w:rsidRPr="003666EA">
        <w:rPr>
          <w:rFonts w:ascii="仿宋_GB2312" w:eastAsia="仿宋_GB2312" w:hAnsi="仿宋" w:hint="eastAsia"/>
          <w:sz w:val="24"/>
          <w:szCs w:val="24"/>
        </w:rPr>
        <w:t>H02表（为居民托管业务统计）</w:t>
      </w:r>
      <w:r w:rsidR="00066A41" w:rsidRPr="003666EA">
        <w:rPr>
          <w:rFonts w:ascii="仿宋_GB2312" w:eastAsia="仿宋_GB2312" w:hAnsi="仿宋" w:hint="eastAsia"/>
          <w:sz w:val="24"/>
          <w:szCs w:val="24"/>
        </w:rPr>
        <w:t>中</w:t>
      </w:r>
      <w:r w:rsidR="00465754" w:rsidRPr="003666EA">
        <w:rPr>
          <w:rFonts w:ascii="仿宋_GB2312" w:eastAsia="仿宋_GB2312" w:hAnsi="仿宋" w:hint="eastAsia"/>
          <w:sz w:val="24"/>
          <w:szCs w:val="24"/>
        </w:rPr>
        <w:t>。其中，H0202应选择QDII机构所属部门（3或4），</w:t>
      </w:r>
      <w:r w:rsidR="00066A41" w:rsidRPr="003666EA">
        <w:rPr>
          <w:rFonts w:ascii="仿宋_GB2312" w:eastAsia="仿宋_GB2312" w:hAnsi="仿宋" w:hint="eastAsia"/>
          <w:sz w:val="24"/>
          <w:szCs w:val="24"/>
        </w:rPr>
        <w:t>H0212</w:t>
      </w:r>
      <w:r w:rsidR="00465754" w:rsidRPr="003666EA">
        <w:rPr>
          <w:rFonts w:ascii="仿宋_GB2312" w:eastAsia="仿宋_GB2312" w:hAnsi="仿宋" w:hint="eastAsia"/>
          <w:sz w:val="24"/>
          <w:szCs w:val="24"/>
        </w:rPr>
        <w:t>应</w:t>
      </w:r>
      <w:r w:rsidR="00066A41" w:rsidRPr="003666EA">
        <w:rPr>
          <w:rFonts w:ascii="仿宋_GB2312" w:eastAsia="仿宋_GB2312" w:hAnsi="仿宋" w:hint="eastAsia"/>
          <w:sz w:val="24"/>
          <w:szCs w:val="24"/>
        </w:rPr>
        <w:t>选择2（对手方是居民委托人的境外直接投资企业，即是居民委托人持有表决权在10%及以上的境外分支机构、子机构、联营机构或合营机构）。同时，在A01 表（对外直接投资）中</w:t>
      </w:r>
      <w:r w:rsidR="00EF46C1" w:rsidRPr="003666EA">
        <w:rPr>
          <w:rFonts w:ascii="仿宋_GB2312" w:eastAsia="仿宋_GB2312" w:hAnsi="仿宋" w:hint="eastAsia"/>
          <w:sz w:val="24"/>
          <w:szCs w:val="24"/>
        </w:rPr>
        <w:t>合并计算对外股权投资流量，并按照合并的持股比例填报存量。</w:t>
      </w:r>
    </w:p>
    <w:p w:rsidR="00B32F1D" w:rsidRPr="003666EA" w:rsidRDefault="00066A41" w:rsidP="006629EB">
      <w:pPr>
        <w:spacing w:line="360" w:lineRule="auto"/>
        <w:rPr>
          <w:rFonts w:ascii="仿宋_GB2312" w:eastAsia="仿宋_GB2312" w:hAnsi="仿宋"/>
          <w:sz w:val="24"/>
          <w:szCs w:val="24"/>
        </w:rPr>
      </w:pPr>
      <w:r w:rsidRPr="003666EA">
        <w:rPr>
          <w:rFonts w:ascii="仿宋_GB2312" w:eastAsia="仿宋_GB2312" w:hAnsi="仿宋" w:hint="eastAsia"/>
          <w:sz w:val="24"/>
          <w:szCs w:val="24"/>
        </w:rPr>
        <w:lastRenderedPageBreak/>
        <w:t xml:space="preserve">    采用以上申报方法的目的是，确保QFII/RQFII/QDII总规模的完整性，及直接投资数据要素的全面性，同时可满足国际收支统计数据剔出的处理需要。</w:t>
      </w:r>
    </w:p>
    <w:p w:rsidR="00D850B8" w:rsidRPr="003666EA" w:rsidRDefault="009856BF" w:rsidP="006629EB">
      <w:pPr>
        <w:spacing w:line="360" w:lineRule="auto"/>
        <w:ind w:firstLine="420"/>
        <w:rPr>
          <w:rFonts w:ascii="仿宋_GB2312" w:eastAsia="仿宋_GB2312" w:hAnsi="仿宋"/>
          <w:sz w:val="24"/>
          <w:szCs w:val="24"/>
        </w:rPr>
      </w:pPr>
      <w:r w:rsidRPr="003666EA">
        <w:rPr>
          <w:rFonts w:ascii="仿宋_GB2312" w:eastAsia="仿宋_GB2312" w:hAnsi="仿宋" w:hint="eastAsia"/>
          <w:sz w:val="24"/>
          <w:szCs w:val="24"/>
        </w:rPr>
        <w:t>除境内托管人外，境内代理人或管理人代为报送数据时也应与委托人就报送数据的准确性进行协调。</w:t>
      </w:r>
    </w:p>
    <w:p w:rsidR="00C8631B" w:rsidRPr="003666EA" w:rsidRDefault="00C8631B" w:rsidP="006629EB">
      <w:pPr>
        <w:spacing w:line="360" w:lineRule="auto"/>
        <w:ind w:firstLine="420"/>
        <w:rPr>
          <w:rFonts w:asciiTheme="minorEastAsia" w:hAnsiTheme="minorEastAsia"/>
          <w:sz w:val="24"/>
          <w:szCs w:val="24"/>
        </w:rPr>
      </w:pPr>
    </w:p>
    <w:p w:rsidR="004A0B73" w:rsidRPr="007F5EB9" w:rsidRDefault="004A0B73" w:rsidP="004A0B73">
      <w:pPr>
        <w:spacing w:line="360" w:lineRule="auto"/>
        <w:rPr>
          <w:rFonts w:asciiTheme="minorEastAsia" w:hAnsiTheme="minorEastAsia"/>
          <w:b/>
          <w:sz w:val="24"/>
          <w:szCs w:val="24"/>
        </w:rPr>
      </w:pPr>
      <w:r w:rsidRPr="007F5EB9">
        <w:rPr>
          <w:rFonts w:asciiTheme="minorEastAsia" w:hAnsiTheme="minorEastAsia" w:hint="eastAsia"/>
          <w:b/>
          <w:sz w:val="24"/>
          <w:szCs w:val="24"/>
        </w:rPr>
        <w:t>问题2</w:t>
      </w:r>
      <w:r w:rsidR="0050795F">
        <w:rPr>
          <w:rFonts w:asciiTheme="minorEastAsia" w:hAnsiTheme="minorEastAsia" w:hint="eastAsia"/>
          <w:b/>
          <w:sz w:val="24"/>
          <w:szCs w:val="24"/>
        </w:rPr>
        <w:t>7</w:t>
      </w:r>
      <w:r w:rsidRPr="007F5EB9">
        <w:rPr>
          <w:rFonts w:asciiTheme="minorEastAsia" w:hAnsiTheme="minorEastAsia" w:hint="eastAsia"/>
          <w:b/>
          <w:sz w:val="24"/>
          <w:szCs w:val="24"/>
        </w:rPr>
        <w:t>：汇发[2014]18号文6.9.6节“外国来华直接投资（资产负债表）”中A0214为“本期本机构分配全体股东的利润”但在汇发[2013]43号中对应项目为“本期本机构分配（外方）的利润”，在报送数据时应以哪个口径为准？</w:t>
      </w:r>
    </w:p>
    <w:p w:rsidR="004A0B73" w:rsidRPr="007F5EB9" w:rsidRDefault="004A0B73" w:rsidP="004A0B73">
      <w:pPr>
        <w:spacing w:line="360" w:lineRule="auto"/>
        <w:rPr>
          <w:rFonts w:ascii="仿宋_GB2312" w:eastAsia="仿宋_GB2312" w:hAnsi="仿宋"/>
          <w:sz w:val="24"/>
          <w:szCs w:val="24"/>
        </w:rPr>
      </w:pPr>
      <w:r w:rsidRPr="007F5EB9">
        <w:rPr>
          <w:rFonts w:ascii="仿宋" w:eastAsia="仿宋" w:hAnsi="仿宋" w:hint="eastAsia"/>
          <w:b/>
          <w:sz w:val="24"/>
          <w:szCs w:val="24"/>
        </w:rPr>
        <w:t>答：</w:t>
      </w:r>
      <w:r w:rsidR="00C3352E" w:rsidRPr="007F5EB9">
        <w:rPr>
          <w:rFonts w:ascii="仿宋_GB2312" w:eastAsia="仿宋_GB2312" w:hAnsi="仿宋" w:hint="eastAsia"/>
          <w:sz w:val="24"/>
          <w:szCs w:val="24"/>
        </w:rPr>
        <w:t>请以汇发</w:t>
      </w:r>
      <w:r w:rsidR="00C3352E" w:rsidRPr="007F5EB9">
        <w:rPr>
          <w:rFonts w:ascii="仿宋_GB2312" w:eastAsia="仿宋_GB2312" w:hAnsi="仿宋"/>
          <w:sz w:val="24"/>
          <w:szCs w:val="24"/>
        </w:rPr>
        <w:t>[2014]18号文为</w:t>
      </w:r>
      <w:r w:rsidR="00341CA7" w:rsidRPr="007F5EB9">
        <w:rPr>
          <w:rFonts w:ascii="仿宋_GB2312" w:eastAsia="仿宋_GB2312" w:hAnsi="仿宋" w:hint="eastAsia"/>
          <w:sz w:val="24"/>
          <w:szCs w:val="24"/>
        </w:rPr>
        <w:t>准。</w:t>
      </w:r>
      <w:r w:rsidR="00A12EC0" w:rsidRPr="007F5EB9">
        <w:rPr>
          <w:rFonts w:ascii="仿宋_GB2312" w:eastAsia="仿宋_GB2312" w:hAnsi="仿宋" w:hint="eastAsia"/>
          <w:sz w:val="24"/>
          <w:szCs w:val="24"/>
        </w:rPr>
        <w:t>由于</w:t>
      </w:r>
      <w:r w:rsidR="00341CA7" w:rsidRPr="007F5EB9">
        <w:rPr>
          <w:rFonts w:ascii="仿宋_GB2312" w:eastAsia="仿宋_GB2312" w:hAnsi="仿宋" w:hint="eastAsia"/>
          <w:sz w:val="24"/>
          <w:szCs w:val="24"/>
        </w:rPr>
        <w:t>汇发[2014]18号文对汇发</w:t>
      </w:r>
      <w:r w:rsidR="007563AC" w:rsidRPr="007F5EB9">
        <w:rPr>
          <w:rFonts w:ascii="仿宋_GB2312" w:eastAsia="仿宋_GB2312" w:hAnsi="仿宋" w:hint="eastAsia"/>
          <w:sz w:val="24"/>
          <w:szCs w:val="24"/>
        </w:rPr>
        <w:t>[2013]43号文中</w:t>
      </w:r>
      <w:r w:rsidR="00A12EC0" w:rsidRPr="007F5EB9">
        <w:rPr>
          <w:rFonts w:ascii="仿宋_GB2312" w:eastAsia="仿宋_GB2312" w:hAnsi="仿宋" w:hint="eastAsia"/>
          <w:sz w:val="24"/>
          <w:szCs w:val="24"/>
        </w:rPr>
        <w:t>A02表进行了拆分，A02表中该项目</w:t>
      </w:r>
      <w:r w:rsidR="00341CA7" w:rsidRPr="007F5EB9">
        <w:rPr>
          <w:rFonts w:ascii="仿宋_GB2312" w:eastAsia="仿宋_GB2312" w:hAnsi="仿宋" w:hint="eastAsia"/>
          <w:sz w:val="24"/>
          <w:szCs w:val="24"/>
        </w:rPr>
        <w:t>指标</w:t>
      </w:r>
      <w:r w:rsidR="00A12EC0" w:rsidRPr="007F5EB9">
        <w:rPr>
          <w:rFonts w:ascii="仿宋_GB2312" w:eastAsia="仿宋_GB2312" w:hAnsi="仿宋" w:hint="eastAsia"/>
          <w:sz w:val="24"/>
          <w:szCs w:val="24"/>
        </w:rPr>
        <w:t>口径</w:t>
      </w:r>
      <w:r w:rsidR="00256950" w:rsidRPr="007F5EB9">
        <w:rPr>
          <w:rFonts w:ascii="仿宋_GB2312" w:eastAsia="仿宋_GB2312" w:hAnsi="仿宋" w:hint="eastAsia"/>
          <w:sz w:val="24"/>
          <w:szCs w:val="24"/>
        </w:rPr>
        <w:t>相应</w:t>
      </w:r>
      <w:r w:rsidR="00A12EC0" w:rsidRPr="007F5EB9">
        <w:rPr>
          <w:rFonts w:ascii="仿宋_GB2312" w:eastAsia="仿宋_GB2312" w:hAnsi="仿宋" w:hint="eastAsia"/>
          <w:sz w:val="24"/>
          <w:szCs w:val="24"/>
        </w:rPr>
        <w:t>调整</w:t>
      </w:r>
      <w:r w:rsidR="00341CA7" w:rsidRPr="007F5EB9">
        <w:rPr>
          <w:rFonts w:ascii="仿宋_GB2312" w:eastAsia="仿宋_GB2312" w:hAnsi="仿宋" w:hint="eastAsia"/>
          <w:sz w:val="24"/>
          <w:szCs w:val="24"/>
        </w:rPr>
        <w:t>。</w:t>
      </w:r>
    </w:p>
    <w:p w:rsidR="004A0B73" w:rsidRDefault="004A0B73" w:rsidP="006629EB">
      <w:pPr>
        <w:spacing w:line="360" w:lineRule="auto"/>
        <w:rPr>
          <w:rFonts w:asciiTheme="minorEastAsia" w:hAnsiTheme="minorEastAsia"/>
          <w:b/>
          <w:sz w:val="24"/>
          <w:szCs w:val="24"/>
        </w:rPr>
      </w:pPr>
    </w:p>
    <w:p w:rsidR="00C8631B" w:rsidRPr="003666EA" w:rsidRDefault="00C8631B"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问题2</w:t>
      </w:r>
      <w:r w:rsidR="0050795F">
        <w:rPr>
          <w:rFonts w:asciiTheme="minorEastAsia" w:hAnsiTheme="minorEastAsia" w:hint="eastAsia"/>
          <w:b/>
          <w:sz w:val="24"/>
          <w:szCs w:val="24"/>
        </w:rPr>
        <w:t>8</w:t>
      </w:r>
      <w:r w:rsidRPr="003666EA">
        <w:rPr>
          <w:rFonts w:asciiTheme="minorEastAsia" w:hAnsiTheme="minorEastAsia" w:hint="eastAsia"/>
          <w:b/>
          <w:sz w:val="24"/>
          <w:szCs w:val="24"/>
        </w:rPr>
        <w:t>：请问D表（存贷款及应收应付款）常见的非交易变动有哪些？</w:t>
      </w:r>
      <w:r w:rsidR="00CB1042" w:rsidRPr="003666EA">
        <w:rPr>
          <w:rFonts w:asciiTheme="minorEastAsia" w:hAnsiTheme="minorEastAsia" w:hint="eastAsia"/>
          <w:b/>
          <w:sz w:val="24"/>
          <w:szCs w:val="24"/>
        </w:rPr>
        <w:t>请问其他报表中除“价值重估因素”以外的非交易变动有哪些？</w:t>
      </w:r>
    </w:p>
    <w:p w:rsidR="00C40C60" w:rsidRPr="003666EA" w:rsidRDefault="00C8631B"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对于D系列</w:t>
      </w:r>
      <w:r w:rsidR="00C40C60" w:rsidRPr="003666EA">
        <w:rPr>
          <w:rFonts w:ascii="仿宋_GB2312" w:eastAsia="仿宋_GB2312" w:hAnsi="仿宋" w:hint="eastAsia"/>
          <w:sz w:val="24"/>
          <w:szCs w:val="24"/>
        </w:rPr>
        <w:t>报表而言</w:t>
      </w:r>
      <w:r w:rsidRPr="003666EA">
        <w:rPr>
          <w:rFonts w:ascii="仿宋_GB2312" w:eastAsia="仿宋_GB2312" w:hAnsi="仿宋" w:hint="eastAsia"/>
          <w:sz w:val="24"/>
          <w:szCs w:val="24"/>
        </w:rPr>
        <w:t>，常见的非交易变动</w:t>
      </w:r>
      <w:r w:rsidR="00C40C60" w:rsidRPr="003666EA">
        <w:rPr>
          <w:rFonts w:ascii="仿宋_GB2312" w:eastAsia="仿宋_GB2312" w:hAnsi="仿宋" w:hint="eastAsia"/>
          <w:sz w:val="24"/>
          <w:szCs w:val="24"/>
        </w:rPr>
        <w:t>包括：</w:t>
      </w:r>
    </w:p>
    <w:p w:rsidR="00C8631B" w:rsidRPr="003666EA" w:rsidRDefault="00C40C60"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一是</w:t>
      </w:r>
      <w:r w:rsidR="00C8631B" w:rsidRPr="003666EA">
        <w:rPr>
          <w:rFonts w:ascii="仿宋_GB2312" w:eastAsia="仿宋_GB2312" w:hAnsi="仿宋" w:hint="eastAsia"/>
          <w:sz w:val="24"/>
          <w:szCs w:val="24"/>
        </w:rPr>
        <w:t>对手方居民/非居民身份或属性</w:t>
      </w:r>
      <w:r w:rsidR="00CC30AA" w:rsidRPr="003666EA">
        <w:rPr>
          <w:rFonts w:ascii="仿宋_GB2312" w:eastAsia="仿宋_GB2312" w:hAnsi="仿宋" w:hint="eastAsia"/>
          <w:sz w:val="24"/>
          <w:szCs w:val="24"/>
        </w:rPr>
        <w:t>发生</w:t>
      </w:r>
      <w:r w:rsidR="00C8631B" w:rsidRPr="003666EA">
        <w:rPr>
          <w:rFonts w:ascii="仿宋_GB2312" w:eastAsia="仿宋_GB2312" w:hAnsi="仿宋" w:hint="eastAsia"/>
          <w:sz w:val="24"/>
          <w:szCs w:val="24"/>
        </w:rPr>
        <w:t>改变</w:t>
      </w:r>
      <w:r w:rsidR="00CB1042" w:rsidRPr="003666EA">
        <w:rPr>
          <w:rFonts w:ascii="仿宋_GB2312" w:eastAsia="仿宋_GB2312" w:hAnsi="仿宋" w:hint="eastAsia"/>
          <w:sz w:val="24"/>
          <w:szCs w:val="24"/>
        </w:rPr>
        <w:t>的</w:t>
      </w:r>
      <w:r w:rsidR="00C8631B" w:rsidRPr="003666EA">
        <w:rPr>
          <w:rFonts w:ascii="仿宋_GB2312" w:eastAsia="仿宋_GB2312" w:hAnsi="仿宋" w:hint="eastAsia"/>
          <w:sz w:val="24"/>
          <w:szCs w:val="24"/>
        </w:rPr>
        <w:t>。</w:t>
      </w:r>
      <w:r w:rsidRPr="003666EA">
        <w:rPr>
          <w:rFonts w:ascii="仿宋_GB2312" w:eastAsia="仿宋_GB2312" w:hAnsi="仿宋" w:hint="eastAsia"/>
          <w:sz w:val="24"/>
          <w:szCs w:val="24"/>
        </w:rPr>
        <w:t>如，</w:t>
      </w:r>
      <w:r w:rsidR="00C8631B" w:rsidRPr="003666EA">
        <w:rPr>
          <w:rFonts w:ascii="仿宋_GB2312" w:eastAsia="仿宋_GB2312" w:hAnsi="仿宋" w:hint="eastAsia"/>
          <w:sz w:val="24"/>
          <w:szCs w:val="24"/>
        </w:rPr>
        <w:t>对手方从居民转为非居民，或从非居民转为居民，或该非居民所属国家、</w:t>
      </w:r>
      <w:r w:rsidRPr="003666EA">
        <w:rPr>
          <w:rFonts w:ascii="仿宋_GB2312" w:eastAsia="仿宋_GB2312" w:hAnsi="仿宋" w:hint="eastAsia"/>
          <w:sz w:val="24"/>
          <w:szCs w:val="24"/>
        </w:rPr>
        <w:t>所属部门</w:t>
      </w:r>
      <w:r w:rsidR="00CB1042" w:rsidRPr="003666EA">
        <w:rPr>
          <w:rFonts w:ascii="仿宋_GB2312" w:eastAsia="仿宋_GB2312" w:hAnsi="仿宋" w:hint="eastAsia"/>
          <w:sz w:val="24"/>
          <w:szCs w:val="24"/>
        </w:rPr>
        <w:t>、与本机构关系（关联关系/非关联关系）</w:t>
      </w:r>
      <w:r w:rsidR="00C8631B" w:rsidRPr="003666EA">
        <w:rPr>
          <w:rFonts w:ascii="仿宋_GB2312" w:eastAsia="仿宋_GB2312" w:hAnsi="仿宋" w:hint="eastAsia"/>
          <w:sz w:val="24"/>
          <w:szCs w:val="24"/>
        </w:rPr>
        <w:t>发生</w:t>
      </w:r>
      <w:r w:rsidRPr="003666EA">
        <w:rPr>
          <w:rFonts w:ascii="仿宋_GB2312" w:eastAsia="仿宋_GB2312" w:hAnsi="仿宋" w:hint="eastAsia"/>
          <w:sz w:val="24"/>
          <w:szCs w:val="24"/>
        </w:rPr>
        <w:t>改变</w:t>
      </w:r>
      <w:r w:rsidR="00C8631B" w:rsidRPr="003666EA">
        <w:rPr>
          <w:rFonts w:ascii="仿宋_GB2312" w:eastAsia="仿宋_GB2312" w:hAnsi="仿宋" w:hint="eastAsia"/>
          <w:sz w:val="24"/>
          <w:szCs w:val="24"/>
        </w:rPr>
        <w:t>的，而这些机构或个人</w:t>
      </w:r>
      <w:r w:rsidR="00180238" w:rsidRPr="003666EA">
        <w:rPr>
          <w:rFonts w:ascii="仿宋_GB2312" w:eastAsia="仿宋_GB2312" w:hAnsi="仿宋" w:hint="eastAsia"/>
          <w:sz w:val="24"/>
          <w:szCs w:val="24"/>
        </w:rPr>
        <w:t>没有与本机构发生存取等交易</w:t>
      </w:r>
      <w:r w:rsidR="00C8631B" w:rsidRPr="003666EA">
        <w:rPr>
          <w:rFonts w:ascii="仿宋_GB2312" w:eastAsia="仿宋_GB2312" w:hAnsi="仿宋" w:hint="eastAsia"/>
          <w:sz w:val="24"/>
          <w:szCs w:val="24"/>
        </w:rPr>
        <w:t>的</w:t>
      </w:r>
      <w:r w:rsidRPr="003666EA">
        <w:rPr>
          <w:rFonts w:ascii="仿宋_GB2312" w:eastAsia="仿宋_GB2312" w:hAnsi="仿宋" w:hint="eastAsia"/>
          <w:sz w:val="24"/>
          <w:szCs w:val="24"/>
        </w:rPr>
        <w:t>。这同时适用于本机构（或委托人）为债权人（D01-D04）或债务人（D05-D08）</w:t>
      </w:r>
      <w:r w:rsidR="00C5787B">
        <w:rPr>
          <w:rFonts w:ascii="仿宋_GB2312" w:eastAsia="仿宋_GB2312" w:hAnsi="仿宋" w:hint="eastAsia"/>
          <w:sz w:val="24"/>
          <w:szCs w:val="24"/>
        </w:rPr>
        <w:t>的情形。</w:t>
      </w:r>
    </w:p>
    <w:p w:rsidR="00C8631B" w:rsidRPr="003666EA" w:rsidRDefault="00C40C60"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二是</w:t>
      </w:r>
      <w:r w:rsidR="00180238" w:rsidRPr="003666EA">
        <w:rPr>
          <w:rFonts w:ascii="仿宋_GB2312" w:eastAsia="仿宋_GB2312" w:hAnsi="仿宋" w:hint="eastAsia"/>
          <w:sz w:val="24"/>
          <w:szCs w:val="24"/>
        </w:rPr>
        <w:t>本机构（或本机构的委托人）是</w:t>
      </w:r>
      <w:r w:rsidR="00C8631B" w:rsidRPr="003666EA">
        <w:rPr>
          <w:rFonts w:ascii="仿宋_GB2312" w:eastAsia="仿宋_GB2312" w:hAnsi="仿宋" w:hint="eastAsia"/>
          <w:sz w:val="24"/>
          <w:szCs w:val="24"/>
        </w:rPr>
        <w:t>债权人</w:t>
      </w:r>
      <w:r w:rsidR="00180238" w:rsidRPr="003666EA">
        <w:rPr>
          <w:rFonts w:ascii="仿宋_GB2312" w:eastAsia="仿宋_GB2312" w:hAnsi="仿宋" w:hint="eastAsia"/>
          <w:sz w:val="24"/>
          <w:szCs w:val="24"/>
        </w:rPr>
        <w:t>，</w:t>
      </w:r>
      <w:r w:rsidRPr="003666EA">
        <w:rPr>
          <w:rFonts w:ascii="仿宋_GB2312" w:eastAsia="仿宋_GB2312" w:hAnsi="仿宋" w:hint="eastAsia"/>
          <w:sz w:val="24"/>
          <w:szCs w:val="24"/>
        </w:rPr>
        <w:t>单方面注销对外金融资产</w:t>
      </w:r>
      <w:r w:rsidR="008978D8" w:rsidRPr="003666EA">
        <w:rPr>
          <w:rFonts w:ascii="仿宋_GB2312" w:eastAsia="仿宋_GB2312" w:hAnsi="仿宋" w:hint="eastAsia"/>
          <w:sz w:val="24"/>
          <w:szCs w:val="24"/>
        </w:rPr>
        <w:t>的</w:t>
      </w:r>
      <w:r w:rsidRPr="003666EA">
        <w:rPr>
          <w:rFonts w:ascii="仿宋_GB2312" w:eastAsia="仿宋_GB2312" w:hAnsi="仿宋" w:hint="eastAsia"/>
          <w:sz w:val="24"/>
          <w:szCs w:val="24"/>
        </w:rPr>
        <w:t>。仅适用于D01-D04表</w:t>
      </w:r>
      <w:r w:rsidR="00EC6367" w:rsidRPr="003666EA">
        <w:rPr>
          <w:rFonts w:ascii="仿宋_GB2312" w:eastAsia="仿宋_GB2312" w:hAnsi="仿宋" w:hint="eastAsia"/>
          <w:sz w:val="24"/>
          <w:szCs w:val="24"/>
        </w:rPr>
        <w:t>，不适用于D05-D08表。</w:t>
      </w:r>
    </w:p>
    <w:p w:rsidR="00CC2C00" w:rsidRPr="003666EA" w:rsidRDefault="00C40C60"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三是</w:t>
      </w:r>
      <w:r w:rsidR="00180238" w:rsidRPr="003666EA">
        <w:rPr>
          <w:rFonts w:ascii="仿宋_GB2312" w:eastAsia="仿宋_GB2312" w:hAnsi="仿宋" w:hint="eastAsia"/>
          <w:sz w:val="24"/>
          <w:szCs w:val="24"/>
        </w:rPr>
        <w:t>本机构（或本机构的委托人）是债权人，</w:t>
      </w:r>
      <w:r w:rsidR="00C8631B" w:rsidRPr="003666EA">
        <w:rPr>
          <w:rFonts w:ascii="仿宋_GB2312" w:eastAsia="仿宋_GB2312" w:hAnsi="仿宋" w:hint="eastAsia"/>
          <w:sz w:val="24"/>
          <w:szCs w:val="24"/>
        </w:rPr>
        <w:t>未与债务人协商，单方面将相关资产证券化的。</w:t>
      </w:r>
      <w:r w:rsidRPr="003666EA">
        <w:rPr>
          <w:rFonts w:ascii="仿宋_GB2312" w:eastAsia="仿宋_GB2312" w:hAnsi="仿宋" w:hint="eastAsia"/>
          <w:sz w:val="24"/>
          <w:szCs w:val="24"/>
        </w:rPr>
        <w:t>仅适用于D01-D04表</w:t>
      </w:r>
      <w:r w:rsidR="00EC6367" w:rsidRPr="003666EA">
        <w:rPr>
          <w:rFonts w:ascii="仿宋_GB2312" w:eastAsia="仿宋_GB2312" w:hAnsi="仿宋" w:hint="eastAsia"/>
          <w:sz w:val="24"/>
          <w:szCs w:val="24"/>
        </w:rPr>
        <w:t>，不适用于D05-D08表。</w:t>
      </w:r>
    </w:p>
    <w:p w:rsidR="00CB1042" w:rsidRDefault="00CB1042"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上述D表中常见非交易变动也是其他报表（B、C、F、H、I表）中除“价值重估因素”以外的主要非交易变动类型。更多有关此类非交易变动的例子</w:t>
      </w:r>
      <w:r w:rsidR="000F6702" w:rsidRPr="003666EA">
        <w:rPr>
          <w:rFonts w:ascii="仿宋_GB2312" w:eastAsia="仿宋_GB2312" w:hAnsi="仿宋" w:hint="eastAsia"/>
          <w:sz w:val="24"/>
          <w:szCs w:val="24"/>
        </w:rPr>
        <w:t>可见</w:t>
      </w:r>
      <w:r w:rsidRPr="003666EA">
        <w:rPr>
          <w:rFonts w:ascii="仿宋_GB2312" w:eastAsia="仿宋_GB2312" w:hAnsi="仿宋" w:hint="eastAsia"/>
          <w:sz w:val="24"/>
          <w:szCs w:val="24"/>
        </w:rPr>
        <w:t>本部分问题</w:t>
      </w:r>
      <w:r w:rsidR="0050795F">
        <w:rPr>
          <w:rFonts w:ascii="仿宋_GB2312" w:eastAsia="仿宋_GB2312" w:hAnsi="仿宋" w:hint="eastAsia"/>
          <w:sz w:val="24"/>
          <w:szCs w:val="24"/>
        </w:rPr>
        <w:t>20</w:t>
      </w:r>
      <w:r w:rsidRPr="003666EA">
        <w:rPr>
          <w:rFonts w:ascii="仿宋_GB2312" w:eastAsia="仿宋_GB2312" w:hAnsi="仿宋" w:hint="eastAsia"/>
          <w:sz w:val="24"/>
          <w:szCs w:val="24"/>
        </w:rPr>
        <w:t>和问题</w:t>
      </w:r>
      <w:r w:rsidR="00FF207C">
        <w:rPr>
          <w:rFonts w:ascii="仿宋_GB2312" w:eastAsia="仿宋_GB2312" w:hAnsi="仿宋" w:hint="eastAsia"/>
          <w:sz w:val="24"/>
          <w:szCs w:val="24"/>
        </w:rPr>
        <w:t>2</w:t>
      </w:r>
      <w:r w:rsidR="0050795F">
        <w:rPr>
          <w:rFonts w:ascii="仿宋_GB2312" w:eastAsia="仿宋_GB2312" w:hAnsi="仿宋" w:hint="eastAsia"/>
          <w:sz w:val="24"/>
          <w:szCs w:val="24"/>
        </w:rPr>
        <w:t>2</w:t>
      </w:r>
      <w:r w:rsidRPr="003666EA">
        <w:rPr>
          <w:rFonts w:ascii="仿宋_GB2312" w:eastAsia="仿宋_GB2312" w:hAnsi="仿宋" w:hint="eastAsia"/>
          <w:sz w:val="24"/>
          <w:szCs w:val="24"/>
        </w:rPr>
        <w:t>。</w:t>
      </w:r>
    </w:p>
    <w:p w:rsidR="00E06A7E" w:rsidRDefault="00E06A7E" w:rsidP="003666EA">
      <w:pPr>
        <w:spacing w:line="360" w:lineRule="auto"/>
        <w:ind w:firstLineChars="200" w:firstLine="480"/>
        <w:rPr>
          <w:rFonts w:ascii="仿宋_GB2312" w:eastAsia="仿宋_GB2312" w:hAnsi="仿宋"/>
          <w:sz w:val="24"/>
          <w:szCs w:val="24"/>
        </w:rPr>
      </w:pPr>
    </w:p>
    <w:p w:rsidR="00E06A7E" w:rsidRDefault="00E06A7E" w:rsidP="00E06A7E">
      <w:pPr>
        <w:spacing w:line="360" w:lineRule="auto"/>
        <w:rPr>
          <w:rFonts w:asciiTheme="minorEastAsia" w:hAnsiTheme="minorEastAsia"/>
          <w:b/>
          <w:sz w:val="24"/>
          <w:szCs w:val="24"/>
        </w:rPr>
      </w:pPr>
      <w:r w:rsidRPr="00E06A7E">
        <w:rPr>
          <w:rFonts w:asciiTheme="minorEastAsia" w:hAnsiTheme="minorEastAsia" w:hint="eastAsia"/>
          <w:b/>
          <w:sz w:val="24"/>
          <w:szCs w:val="24"/>
        </w:rPr>
        <w:t>问题2</w:t>
      </w:r>
      <w:r w:rsidR="0050795F">
        <w:rPr>
          <w:rFonts w:asciiTheme="minorEastAsia" w:hAnsiTheme="minorEastAsia" w:hint="eastAsia"/>
          <w:b/>
          <w:sz w:val="24"/>
          <w:szCs w:val="24"/>
        </w:rPr>
        <w:t>9</w:t>
      </w:r>
      <w:r w:rsidRPr="00E06A7E">
        <w:rPr>
          <w:rFonts w:asciiTheme="minorEastAsia" w:hAnsiTheme="minorEastAsia" w:hint="eastAsia"/>
          <w:b/>
          <w:sz w:val="24"/>
          <w:szCs w:val="24"/>
        </w:rPr>
        <w:t>：</w:t>
      </w:r>
      <w:r w:rsidR="00B46363">
        <w:rPr>
          <w:rFonts w:asciiTheme="minorEastAsia" w:hAnsiTheme="minorEastAsia" w:hint="eastAsia"/>
          <w:b/>
          <w:sz w:val="24"/>
          <w:szCs w:val="24"/>
        </w:rPr>
        <w:t>《</w:t>
      </w:r>
      <w:r w:rsidR="00B46363" w:rsidRPr="003666EA">
        <w:rPr>
          <w:rFonts w:asciiTheme="minorEastAsia" w:hAnsiTheme="minorEastAsia" w:hint="eastAsia"/>
          <w:b/>
          <w:sz w:val="24"/>
          <w:szCs w:val="24"/>
        </w:rPr>
        <w:t>对外金融资产负债及交易统计制度</w:t>
      </w:r>
      <w:r w:rsidR="00B46363">
        <w:rPr>
          <w:rFonts w:asciiTheme="minorEastAsia" w:hAnsiTheme="minorEastAsia" w:hint="eastAsia"/>
          <w:b/>
          <w:sz w:val="24"/>
          <w:szCs w:val="24"/>
        </w:rPr>
        <w:t>》（</w:t>
      </w:r>
      <w:r w:rsidRPr="00E06A7E">
        <w:rPr>
          <w:rFonts w:asciiTheme="minorEastAsia" w:hAnsiTheme="minorEastAsia" w:hint="eastAsia"/>
          <w:b/>
          <w:sz w:val="24"/>
          <w:szCs w:val="24"/>
        </w:rPr>
        <w:t>汇发【2013】43号</w:t>
      </w:r>
      <w:r w:rsidR="00B46363">
        <w:rPr>
          <w:rFonts w:asciiTheme="minorEastAsia" w:hAnsiTheme="minorEastAsia" w:hint="eastAsia"/>
          <w:b/>
          <w:sz w:val="24"/>
          <w:szCs w:val="24"/>
        </w:rPr>
        <w:t>）标明报表有效期为2016年9月，是指该制度只执行到2016年9月吗？</w:t>
      </w:r>
    </w:p>
    <w:p w:rsidR="00B46363" w:rsidRPr="001661AF" w:rsidRDefault="00B46363" w:rsidP="00E06A7E">
      <w:pPr>
        <w:spacing w:line="360" w:lineRule="auto"/>
        <w:rPr>
          <w:rFonts w:ascii="仿宋_GB2312" w:eastAsia="仿宋_GB2312" w:hAnsi="仿宋"/>
          <w:sz w:val="24"/>
          <w:szCs w:val="24"/>
        </w:rPr>
      </w:pPr>
      <w:r>
        <w:rPr>
          <w:rFonts w:asciiTheme="minorEastAsia" w:hAnsiTheme="minorEastAsia" w:hint="eastAsia"/>
          <w:b/>
          <w:sz w:val="24"/>
          <w:szCs w:val="24"/>
        </w:rPr>
        <w:lastRenderedPageBreak/>
        <w:t>答：</w:t>
      </w:r>
      <w:r w:rsidRPr="001661AF">
        <w:rPr>
          <w:rFonts w:ascii="仿宋_GB2312" w:eastAsia="仿宋_GB2312" w:hAnsi="仿宋" w:hint="eastAsia"/>
          <w:sz w:val="24"/>
          <w:szCs w:val="24"/>
        </w:rPr>
        <w:t>该制度是长期</w:t>
      </w:r>
      <w:r w:rsidR="00AE2083" w:rsidRPr="001661AF">
        <w:rPr>
          <w:rFonts w:ascii="仿宋_GB2312" w:eastAsia="仿宋_GB2312" w:hAnsi="仿宋" w:hint="eastAsia"/>
          <w:sz w:val="24"/>
          <w:szCs w:val="24"/>
        </w:rPr>
        <w:t>有效的</w:t>
      </w:r>
      <w:r w:rsidR="00D11C6F" w:rsidRPr="001661AF">
        <w:rPr>
          <w:rFonts w:ascii="仿宋_GB2312" w:eastAsia="仿宋_GB2312" w:hAnsi="仿宋" w:hint="eastAsia"/>
          <w:sz w:val="24"/>
          <w:szCs w:val="24"/>
        </w:rPr>
        <w:t>统计</w:t>
      </w:r>
      <w:r w:rsidRPr="001661AF">
        <w:rPr>
          <w:rFonts w:ascii="仿宋_GB2312" w:eastAsia="仿宋_GB2312" w:hAnsi="仿宋" w:hint="eastAsia"/>
          <w:sz w:val="24"/>
          <w:szCs w:val="24"/>
        </w:rPr>
        <w:t>制度。</w:t>
      </w:r>
      <w:r w:rsidR="004F2CCE">
        <w:rPr>
          <w:rFonts w:ascii="仿宋_GB2312" w:eastAsia="仿宋_GB2312" w:hAnsi="仿宋" w:hint="eastAsia"/>
          <w:sz w:val="24"/>
          <w:szCs w:val="24"/>
        </w:rPr>
        <w:t>根据</w:t>
      </w:r>
      <w:r w:rsidRPr="001661AF">
        <w:rPr>
          <w:rFonts w:ascii="仿宋_GB2312" w:eastAsia="仿宋_GB2312" w:hAnsi="仿宋" w:hint="eastAsia"/>
          <w:sz w:val="24"/>
          <w:szCs w:val="24"/>
        </w:rPr>
        <w:t>国家统计局</w:t>
      </w:r>
      <w:r w:rsidR="004F2CCE">
        <w:rPr>
          <w:rFonts w:ascii="仿宋_GB2312" w:eastAsia="仿宋_GB2312" w:hAnsi="仿宋" w:hint="eastAsia"/>
          <w:sz w:val="24"/>
          <w:szCs w:val="24"/>
        </w:rPr>
        <w:t>的规定，这类统计制度</w:t>
      </w:r>
      <w:r w:rsidR="00043984">
        <w:rPr>
          <w:rFonts w:ascii="仿宋_GB2312" w:eastAsia="仿宋_GB2312" w:hAnsi="仿宋" w:hint="eastAsia"/>
          <w:sz w:val="24"/>
          <w:szCs w:val="24"/>
        </w:rPr>
        <w:t>自实施之日起每</w:t>
      </w:r>
      <w:r w:rsidRPr="001661AF">
        <w:rPr>
          <w:rFonts w:ascii="仿宋_GB2312" w:eastAsia="仿宋_GB2312" w:hAnsi="仿宋" w:hint="eastAsia"/>
          <w:sz w:val="24"/>
          <w:szCs w:val="24"/>
        </w:rPr>
        <w:t>两年</w:t>
      </w:r>
      <w:r w:rsidR="004F2CCE">
        <w:rPr>
          <w:rFonts w:ascii="仿宋_GB2312" w:eastAsia="仿宋_GB2312" w:hAnsi="仿宋" w:hint="eastAsia"/>
          <w:sz w:val="24"/>
          <w:szCs w:val="24"/>
        </w:rPr>
        <w:t>修订</w:t>
      </w:r>
      <w:r w:rsidR="002C751D">
        <w:rPr>
          <w:rFonts w:ascii="仿宋_GB2312" w:eastAsia="仿宋_GB2312" w:hAnsi="仿宋" w:hint="eastAsia"/>
          <w:sz w:val="24"/>
          <w:szCs w:val="24"/>
        </w:rPr>
        <w:t>一次</w:t>
      </w:r>
      <w:r w:rsidR="004F2CCE">
        <w:rPr>
          <w:rFonts w:ascii="仿宋_GB2312" w:eastAsia="仿宋_GB2312" w:hAnsi="仿宋" w:hint="eastAsia"/>
          <w:sz w:val="24"/>
          <w:szCs w:val="24"/>
        </w:rPr>
        <w:t>并</w:t>
      </w:r>
      <w:r w:rsidRPr="001661AF">
        <w:rPr>
          <w:rFonts w:ascii="仿宋_GB2312" w:eastAsia="仿宋_GB2312" w:hAnsi="仿宋" w:hint="eastAsia"/>
          <w:sz w:val="24"/>
          <w:szCs w:val="24"/>
        </w:rPr>
        <w:t>重新发布</w:t>
      </w:r>
      <w:r w:rsidR="002C751D">
        <w:rPr>
          <w:rFonts w:ascii="仿宋_GB2312" w:eastAsia="仿宋_GB2312" w:hAnsi="仿宋" w:hint="eastAsia"/>
          <w:sz w:val="24"/>
          <w:szCs w:val="24"/>
        </w:rPr>
        <w:t>施行</w:t>
      </w:r>
      <w:r w:rsidR="00043984">
        <w:rPr>
          <w:rFonts w:ascii="仿宋_GB2312" w:eastAsia="仿宋_GB2312" w:hAnsi="仿宋" w:hint="eastAsia"/>
          <w:sz w:val="24"/>
          <w:szCs w:val="24"/>
        </w:rPr>
        <w:t>。</w:t>
      </w:r>
    </w:p>
    <w:p w:rsidR="00C8631B" w:rsidRPr="00DD4DA7" w:rsidRDefault="00C8631B" w:rsidP="006629EB">
      <w:pPr>
        <w:spacing w:line="360" w:lineRule="auto"/>
        <w:rPr>
          <w:rFonts w:asciiTheme="minorEastAsia" w:hAnsiTheme="minorEastAsia"/>
          <w:color w:val="00B0F0"/>
          <w:sz w:val="24"/>
          <w:szCs w:val="24"/>
        </w:rPr>
      </w:pPr>
    </w:p>
    <w:p w:rsidR="003202E0" w:rsidRPr="003666EA" w:rsidRDefault="003202E0" w:rsidP="006629EB">
      <w:pPr>
        <w:spacing w:line="360" w:lineRule="auto"/>
        <w:outlineLvl w:val="0"/>
        <w:rPr>
          <w:rFonts w:asciiTheme="minorEastAsia" w:hAnsiTheme="minorEastAsia"/>
          <w:b/>
          <w:sz w:val="24"/>
          <w:szCs w:val="24"/>
        </w:rPr>
      </w:pPr>
      <w:r w:rsidRPr="003666EA">
        <w:rPr>
          <w:rFonts w:ascii="黑体" w:eastAsia="黑体" w:hint="eastAsia"/>
          <w:sz w:val="24"/>
          <w:szCs w:val="24"/>
        </w:rPr>
        <w:t>二、《金融机构外汇业务数据采集规范（1.0）版》</w:t>
      </w:r>
      <w:r w:rsidR="00C35610">
        <w:rPr>
          <w:rFonts w:ascii="黑体" w:eastAsia="黑体" w:hint="eastAsia"/>
          <w:sz w:val="24"/>
          <w:szCs w:val="24"/>
        </w:rPr>
        <w:t>（汇发[2014]18号）</w:t>
      </w:r>
      <w:r w:rsidR="004D6643">
        <w:rPr>
          <w:rFonts w:ascii="黑体" w:eastAsia="黑体" w:hint="eastAsia"/>
          <w:sz w:val="24"/>
          <w:szCs w:val="24"/>
        </w:rPr>
        <w:t>有关银行外债</w:t>
      </w:r>
      <w:r w:rsidR="0011186F">
        <w:rPr>
          <w:rFonts w:ascii="黑体" w:eastAsia="黑体" w:hint="eastAsia"/>
          <w:sz w:val="24"/>
          <w:szCs w:val="24"/>
        </w:rPr>
        <w:t>、</w:t>
      </w:r>
      <w:r w:rsidR="004D6643">
        <w:rPr>
          <w:rFonts w:ascii="黑体" w:eastAsia="黑体" w:hint="eastAsia"/>
          <w:sz w:val="24"/>
          <w:szCs w:val="24"/>
        </w:rPr>
        <w:t>个人外币现钞提取</w:t>
      </w:r>
      <w:r w:rsidR="0011186F">
        <w:rPr>
          <w:rFonts w:ascii="黑体" w:eastAsia="黑体" w:hint="eastAsia"/>
          <w:sz w:val="24"/>
          <w:szCs w:val="24"/>
        </w:rPr>
        <w:t>等</w:t>
      </w:r>
      <w:r w:rsidRPr="003666EA">
        <w:rPr>
          <w:rFonts w:ascii="黑体" w:eastAsia="黑体" w:hint="eastAsia"/>
          <w:sz w:val="24"/>
          <w:szCs w:val="24"/>
        </w:rPr>
        <w:t>业务问题</w:t>
      </w:r>
    </w:p>
    <w:p w:rsidR="0011186F" w:rsidRPr="003666EA" w:rsidRDefault="0011186F" w:rsidP="0011186F">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E019C8">
        <w:rPr>
          <w:rFonts w:asciiTheme="minorEastAsia" w:hAnsiTheme="minorEastAsia" w:hint="eastAsia"/>
          <w:b/>
          <w:sz w:val="24"/>
          <w:szCs w:val="24"/>
        </w:rPr>
        <w:t>1</w:t>
      </w:r>
      <w:r w:rsidRPr="003666EA">
        <w:rPr>
          <w:rFonts w:asciiTheme="minorEastAsia" w:hAnsiTheme="minorEastAsia" w:hint="eastAsia"/>
          <w:b/>
          <w:sz w:val="24"/>
          <w:szCs w:val="24"/>
        </w:rPr>
        <w:t>：银行自身外债数据接口开发及数据并行报送的问题。</w:t>
      </w:r>
    </w:p>
    <w:p w:rsidR="0011186F" w:rsidRDefault="0011186F" w:rsidP="0011186F">
      <w:pPr>
        <w:spacing w:line="360" w:lineRule="auto"/>
        <w:rPr>
          <w:rFonts w:ascii="仿宋_GB2312" w:eastAsia="仿宋_GB2312" w:hAnsi="仿宋"/>
          <w:sz w:val="24"/>
          <w:szCs w:val="24"/>
        </w:rPr>
      </w:pPr>
      <w:r w:rsidRPr="003666EA">
        <w:rPr>
          <w:rFonts w:ascii="仿宋" w:eastAsia="仿宋" w:hAnsi="仿宋" w:hint="eastAsia"/>
          <w:b/>
          <w:sz w:val="24"/>
          <w:szCs w:val="24"/>
        </w:rPr>
        <w:t>答：</w:t>
      </w:r>
      <w:r>
        <w:rPr>
          <w:rFonts w:ascii="仿宋_GB2312" w:eastAsia="仿宋_GB2312" w:hAnsi="仿宋" w:hint="eastAsia"/>
          <w:sz w:val="24"/>
          <w:szCs w:val="24"/>
        </w:rPr>
        <w:t>由于</w:t>
      </w:r>
      <w:r w:rsidR="00697284">
        <w:rPr>
          <w:rFonts w:ascii="仿宋_GB2312" w:eastAsia="仿宋_GB2312" w:hAnsi="仿宋" w:hint="eastAsia"/>
          <w:sz w:val="24"/>
          <w:szCs w:val="24"/>
        </w:rPr>
        <w:t>汇发[2014]18号文</w:t>
      </w:r>
      <w:r>
        <w:rPr>
          <w:rFonts w:ascii="仿宋_GB2312" w:eastAsia="仿宋_GB2312" w:hAnsi="仿宋" w:hint="eastAsia"/>
          <w:sz w:val="24"/>
          <w:szCs w:val="24"/>
        </w:rPr>
        <w:t>对采集内容进行了调整，增加了银行自身外债签约信息的部分字段，导致银行自身外债接口文件需要调整或重新开发。考虑到新开发的接口文件会有一段测试期，数据之间需要核对和验证，因此新旧接口有</w:t>
      </w:r>
      <w:r>
        <w:rPr>
          <w:rFonts w:ascii="仿宋_GB2312" w:eastAsia="仿宋_GB2312" w:hAnsi="仿宋"/>
          <w:sz w:val="24"/>
          <w:szCs w:val="24"/>
        </w:rPr>
        <w:t>3个月</w:t>
      </w:r>
      <w:r>
        <w:rPr>
          <w:rFonts w:ascii="仿宋_GB2312" w:eastAsia="仿宋_GB2312" w:hAnsi="仿宋" w:hint="eastAsia"/>
          <w:sz w:val="24"/>
          <w:szCs w:val="24"/>
        </w:rPr>
        <w:t>并行期。</w:t>
      </w:r>
    </w:p>
    <w:p w:rsidR="0011186F" w:rsidRDefault="0011186F" w:rsidP="0011186F">
      <w:pPr>
        <w:spacing w:line="360" w:lineRule="auto"/>
        <w:ind w:firstLineChars="189" w:firstLine="454"/>
        <w:rPr>
          <w:rFonts w:ascii="仿宋_GB2312" w:eastAsia="仿宋_GB2312" w:hAnsi="仿宋"/>
          <w:sz w:val="24"/>
          <w:szCs w:val="24"/>
        </w:rPr>
      </w:pPr>
      <w:r w:rsidRPr="00F5403D">
        <w:rPr>
          <w:rFonts w:ascii="仿宋_GB2312" w:eastAsia="仿宋_GB2312" w:hAnsi="仿宋" w:hint="eastAsia"/>
          <w:sz w:val="24"/>
          <w:szCs w:val="24"/>
        </w:rPr>
        <w:t>各银行在2014年10月10日首次按照汇发[2014]18号文的要求报送外债数据时：</w:t>
      </w:r>
    </w:p>
    <w:p w:rsidR="0011186F" w:rsidRDefault="0011186F" w:rsidP="0011186F">
      <w:pPr>
        <w:spacing w:line="360" w:lineRule="auto"/>
        <w:ind w:firstLineChars="189" w:firstLine="454"/>
        <w:rPr>
          <w:rFonts w:ascii="仿宋_GB2312" w:eastAsia="仿宋_GB2312" w:hAnsi="仿宋"/>
          <w:sz w:val="24"/>
          <w:szCs w:val="24"/>
        </w:rPr>
      </w:pPr>
      <w:r w:rsidRPr="00F5403D">
        <w:rPr>
          <w:rFonts w:ascii="仿宋_GB2312" w:eastAsia="仿宋_GB2312" w:hAnsi="仿宋" w:hint="eastAsia"/>
          <w:sz w:val="24"/>
          <w:szCs w:val="24"/>
        </w:rPr>
        <w:t>（一）对截至2014年10月9日末余额大于零的所有外债，应按照汇发[2014]18号文接口</w:t>
      </w:r>
      <w:r>
        <w:rPr>
          <w:rFonts w:ascii="仿宋_GB2312" w:eastAsia="仿宋_GB2312" w:hAnsi="仿宋"/>
          <w:sz w:val="24"/>
          <w:szCs w:val="24"/>
        </w:rPr>
        <w:t>EXD</w:t>
      </w:r>
      <w:r w:rsidRPr="00F5403D">
        <w:rPr>
          <w:rFonts w:ascii="仿宋_GB2312" w:eastAsia="仿宋_GB2312" w:hAnsi="仿宋" w:hint="eastAsia"/>
          <w:sz w:val="24"/>
          <w:szCs w:val="24"/>
        </w:rPr>
        <w:t>（以下简称新接口）补充报送签约信息，且其外债编号应与本银行按照汇发[2012]60号文接口</w:t>
      </w:r>
      <w:r>
        <w:rPr>
          <w:rFonts w:ascii="仿宋_GB2312" w:eastAsia="仿宋_GB2312" w:hAnsi="仿宋"/>
          <w:sz w:val="24"/>
          <w:szCs w:val="24"/>
        </w:rPr>
        <w:t>CFA</w:t>
      </w:r>
      <w:r w:rsidRPr="00F5403D">
        <w:rPr>
          <w:rFonts w:ascii="仿宋_GB2312" w:eastAsia="仿宋_GB2312" w:hAnsi="仿宋" w:hint="eastAsia"/>
          <w:sz w:val="24"/>
          <w:szCs w:val="24"/>
        </w:rPr>
        <w:t>（以下简称旧接口）报送的外债数据的外债编号保持一致，但变动信息和余额信息无需报送。外汇局将银行通过旧接口报送的变动信息和余额信息共享到新接口中使用。</w:t>
      </w:r>
    </w:p>
    <w:p w:rsidR="0011186F" w:rsidRDefault="0011186F" w:rsidP="0011186F">
      <w:pPr>
        <w:spacing w:line="360" w:lineRule="auto"/>
        <w:ind w:firstLineChars="189" w:firstLine="454"/>
        <w:rPr>
          <w:rFonts w:ascii="仿宋_GB2312" w:eastAsia="仿宋_GB2312" w:hAnsi="仿宋"/>
          <w:sz w:val="24"/>
          <w:szCs w:val="24"/>
        </w:rPr>
      </w:pPr>
      <w:r w:rsidRPr="00F5403D">
        <w:rPr>
          <w:rFonts w:ascii="仿宋_GB2312" w:eastAsia="仿宋_GB2312" w:hAnsi="仿宋" w:hint="eastAsia"/>
          <w:sz w:val="24"/>
          <w:szCs w:val="24"/>
        </w:rPr>
        <w:t>（二）对2014年10月10日至2015年10月9日间新签约的外债，应当在新接口和旧接口中都报送签约信息、变动信息和余额信息，并保证两个接口的外债编号、变动编号以及通用字段信息的一致。外汇局将进行数据核对。</w:t>
      </w:r>
    </w:p>
    <w:p w:rsidR="0011186F" w:rsidRDefault="0011186F" w:rsidP="0011186F">
      <w:pPr>
        <w:spacing w:line="360" w:lineRule="auto"/>
        <w:ind w:firstLineChars="200" w:firstLine="480"/>
        <w:rPr>
          <w:rFonts w:ascii="仿宋_GB2312" w:eastAsia="仿宋_GB2312" w:hAnsi="仿宋"/>
          <w:sz w:val="24"/>
          <w:szCs w:val="24"/>
        </w:rPr>
      </w:pPr>
      <w:r w:rsidRPr="00F5403D">
        <w:rPr>
          <w:rFonts w:ascii="仿宋_GB2312" w:eastAsia="仿宋_GB2312" w:hAnsi="仿宋" w:hint="eastAsia"/>
          <w:sz w:val="24"/>
          <w:szCs w:val="24"/>
        </w:rPr>
        <w:t>（三）自2015年1月10日起，各银行只需通过新接口报送外债数据，旧接口停止报送。</w:t>
      </w:r>
    </w:p>
    <w:p w:rsidR="0011186F" w:rsidRPr="003666EA" w:rsidRDefault="0011186F" w:rsidP="0011186F">
      <w:pPr>
        <w:spacing w:line="360" w:lineRule="auto"/>
        <w:ind w:firstLineChars="200" w:firstLine="480"/>
        <w:rPr>
          <w:rFonts w:ascii="仿宋_GB2312" w:eastAsia="仿宋_GB2312" w:hAnsi="仿宋"/>
          <w:sz w:val="24"/>
          <w:szCs w:val="24"/>
        </w:rPr>
      </w:pPr>
    </w:p>
    <w:p w:rsidR="003202E0"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11186F">
        <w:rPr>
          <w:rFonts w:asciiTheme="minorEastAsia" w:hAnsiTheme="minorEastAsia" w:hint="eastAsia"/>
          <w:b/>
          <w:sz w:val="24"/>
          <w:szCs w:val="24"/>
        </w:rPr>
        <w:t>2</w:t>
      </w:r>
      <w:r w:rsidRPr="003666EA">
        <w:rPr>
          <w:rFonts w:asciiTheme="minorEastAsia" w:hAnsiTheme="minorEastAsia" w:hint="eastAsia"/>
          <w:b/>
          <w:sz w:val="24"/>
          <w:szCs w:val="24"/>
        </w:rPr>
        <w:t>：</w:t>
      </w:r>
      <w:r w:rsidRPr="003666EA">
        <w:rPr>
          <w:rFonts w:asciiTheme="minorEastAsia" w:hAnsiTheme="minorEastAsia"/>
          <w:b/>
          <w:sz w:val="24"/>
          <w:szCs w:val="24"/>
        </w:rPr>
        <w:t>在外债数据报送中，哪些即期信用证的数据需要报送？</w:t>
      </w:r>
    </w:p>
    <w:p w:rsidR="003202E0" w:rsidRDefault="003202E0"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需要作为外债数据报送的即期信用证指的是对非居民债权人产生了真实的付款义务，但尚未完成对外支付的即期信用证。对于见单即付或当日完成对外支付的即期信用证，无需报送数据。如果在支付前发现了单证不符点导致对外支付义务消失的，如果已经报送了签约信息和提款信息，应该先删除提款信息再删除签约信息，而不应通过还本的方式处理。</w:t>
      </w:r>
    </w:p>
    <w:p w:rsidR="00D55FFB" w:rsidRDefault="00D55FFB" w:rsidP="006629EB">
      <w:pPr>
        <w:spacing w:line="360" w:lineRule="auto"/>
        <w:rPr>
          <w:rFonts w:ascii="仿宋" w:eastAsia="仿宋" w:hAnsi="仿宋"/>
          <w:sz w:val="24"/>
          <w:szCs w:val="24"/>
        </w:rPr>
      </w:pPr>
    </w:p>
    <w:p w:rsidR="00D55FFB" w:rsidRPr="00D55FFB" w:rsidRDefault="00D55FFB" w:rsidP="00D55FFB">
      <w:pPr>
        <w:spacing w:line="360" w:lineRule="auto"/>
        <w:rPr>
          <w:rFonts w:asciiTheme="minorEastAsia" w:hAnsiTheme="minorEastAsia"/>
          <w:b/>
          <w:sz w:val="24"/>
          <w:szCs w:val="24"/>
        </w:rPr>
      </w:pPr>
      <w:r w:rsidRPr="00D55FFB">
        <w:rPr>
          <w:rFonts w:asciiTheme="minorEastAsia" w:hAnsiTheme="minorEastAsia" w:hint="eastAsia"/>
          <w:b/>
          <w:sz w:val="24"/>
          <w:szCs w:val="24"/>
        </w:rPr>
        <w:t>问题</w:t>
      </w:r>
      <w:r w:rsidR="0011186F">
        <w:rPr>
          <w:rFonts w:asciiTheme="minorEastAsia" w:hAnsiTheme="minorEastAsia" w:hint="eastAsia"/>
          <w:b/>
          <w:sz w:val="24"/>
          <w:szCs w:val="24"/>
        </w:rPr>
        <w:t>3</w:t>
      </w:r>
      <w:r w:rsidRPr="00D55FFB">
        <w:rPr>
          <w:rFonts w:asciiTheme="minorEastAsia" w:hAnsiTheme="minorEastAsia" w:hint="eastAsia"/>
          <w:b/>
          <w:sz w:val="24"/>
          <w:szCs w:val="24"/>
        </w:rPr>
        <w:t>：个人购汇提钞和手持外币现钞结汇数据是否需要报送？</w:t>
      </w:r>
    </w:p>
    <w:p w:rsidR="00D55FFB" w:rsidRPr="00D55FFB" w:rsidRDefault="00D55FFB" w:rsidP="00D55FFB">
      <w:pPr>
        <w:spacing w:line="360" w:lineRule="auto"/>
        <w:rPr>
          <w:rFonts w:ascii="仿宋_GB2312" w:eastAsia="仿宋_GB2312" w:hAnsiTheme="minorEastAsia"/>
          <w:sz w:val="24"/>
          <w:szCs w:val="24"/>
        </w:rPr>
      </w:pPr>
      <w:r w:rsidRPr="00846350">
        <w:rPr>
          <w:rFonts w:ascii="仿宋" w:eastAsia="仿宋" w:hAnsi="仿宋" w:hint="eastAsia"/>
          <w:b/>
          <w:sz w:val="24"/>
          <w:szCs w:val="24"/>
        </w:rPr>
        <w:t>答：</w:t>
      </w:r>
      <w:r w:rsidRPr="00D55FFB">
        <w:rPr>
          <w:rFonts w:ascii="仿宋_GB2312" w:eastAsia="仿宋_GB2312" w:hAnsiTheme="minorEastAsia" w:hint="eastAsia"/>
          <w:sz w:val="24"/>
          <w:szCs w:val="24"/>
        </w:rPr>
        <w:t>个人购汇提钞和手持现钞结汇数据不经过账户的不需要报送。如果个人购汇后资金进入账户然后提钞，视为两次交易，即购汇和提钞；个人外汇资金进入账户后结汇的，亦视为两次交易，即存钞和结汇，均需要报送。</w:t>
      </w:r>
    </w:p>
    <w:p w:rsidR="00D55FFB" w:rsidRPr="00D55FFB" w:rsidRDefault="00D55FFB" w:rsidP="00D55FFB">
      <w:pPr>
        <w:spacing w:line="360" w:lineRule="auto"/>
        <w:ind w:firstLine="608"/>
        <w:rPr>
          <w:rFonts w:ascii="仿宋_GB2312" w:eastAsia="仿宋_GB2312" w:hAnsiTheme="minorEastAsia"/>
          <w:b/>
          <w:sz w:val="24"/>
          <w:szCs w:val="24"/>
        </w:rPr>
      </w:pPr>
    </w:p>
    <w:p w:rsidR="00D55FFB" w:rsidRPr="00D55FFB" w:rsidRDefault="00D55FFB" w:rsidP="00D55FFB">
      <w:pPr>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4</w:t>
      </w:r>
      <w:r w:rsidRPr="00D55FFB">
        <w:rPr>
          <w:rFonts w:ascii="宋体" w:eastAsia="宋体" w:hAnsi="宋体" w:hint="eastAsia"/>
          <w:b/>
          <w:sz w:val="24"/>
          <w:szCs w:val="24"/>
        </w:rPr>
        <w:t>：银行卡项下的现钞存取数据是否需要报送？</w:t>
      </w:r>
    </w:p>
    <w:p w:rsidR="00D55FFB" w:rsidRPr="00D55FFB" w:rsidRDefault="00D55FFB" w:rsidP="00D55FFB">
      <w:pPr>
        <w:spacing w:line="360" w:lineRule="auto"/>
        <w:rPr>
          <w:rFonts w:ascii="仿宋_GB2312" w:eastAsia="仿宋_GB2312"/>
          <w:sz w:val="24"/>
          <w:szCs w:val="24"/>
        </w:rPr>
      </w:pPr>
      <w:r w:rsidRPr="00846350">
        <w:rPr>
          <w:rFonts w:ascii="仿宋" w:eastAsia="仿宋" w:hAnsi="仿宋" w:hint="eastAsia"/>
          <w:b/>
          <w:sz w:val="24"/>
          <w:szCs w:val="24"/>
        </w:rPr>
        <w:t>答：</w:t>
      </w:r>
      <w:r w:rsidRPr="00D55FFB">
        <w:rPr>
          <w:rFonts w:ascii="仿宋_GB2312" w:eastAsia="仿宋_GB2312" w:hint="eastAsia"/>
          <w:sz w:val="24"/>
          <w:szCs w:val="24"/>
        </w:rPr>
        <w:t>需要报送。银行卡一般都与账户关联，其现钞存取信息包括在对应的账户内，因此账户性质只列举了个人储蓄账户和个人结算账户，没有再单列银行卡账户选项。</w:t>
      </w:r>
    </w:p>
    <w:p w:rsidR="00D55FFB" w:rsidRPr="00D55FFB" w:rsidRDefault="00D55FFB" w:rsidP="00D55FFB">
      <w:pPr>
        <w:spacing w:line="360" w:lineRule="auto"/>
        <w:ind w:firstLine="608"/>
        <w:rPr>
          <w:rFonts w:ascii="仿宋_GB2312" w:eastAsia="仿宋_GB2312"/>
          <w:b/>
          <w:sz w:val="24"/>
          <w:szCs w:val="24"/>
        </w:rPr>
      </w:pPr>
    </w:p>
    <w:p w:rsidR="00D55FFB" w:rsidRPr="00D55FFB" w:rsidRDefault="00D55FFB" w:rsidP="00D55FFB">
      <w:pPr>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5</w:t>
      </w:r>
      <w:r w:rsidRPr="00D55FFB">
        <w:rPr>
          <w:rFonts w:ascii="宋体" w:eastAsia="宋体" w:hAnsi="宋体" w:hint="eastAsia"/>
          <w:b/>
          <w:sz w:val="24"/>
          <w:szCs w:val="24"/>
        </w:rPr>
        <w:t>：境内卡在境外存取现钞数据是否报送，如果不能提供交易地点所属国别或地区怎么办？</w:t>
      </w:r>
    </w:p>
    <w:p w:rsidR="00D55FFB" w:rsidRPr="00D55FFB" w:rsidRDefault="00D55FFB" w:rsidP="00D55FFB">
      <w:pPr>
        <w:spacing w:line="360" w:lineRule="auto"/>
        <w:rPr>
          <w:rFonts w:ascii="仿宋_GB2312" w:eastAsia="仿宋_GB2312"/>
          <w:sz w:val="24"/>
          <w:szCs w:val="24"/>
        </w:rPr>
      </w:pPr>
      <w:r w:rsidRPr="00846350">
        <w:rPr>
          <w:rFonts w:ascii="仿宋" w:eastAsia="仿宋" w:hAnsi="仿宋" w:hint="eastAsia"/>
          <w:b/>
          <w:sz w:val="24"/>
          <w:szCs w:val="24"/>
        </w:rPr>
        <w:t>答：</w:t>
      </w:r>
      <w:r w:rsidRPr="00D55FFB">
        <w:rPr>
          <w:rFonts w:ascii="仿宋_GB2312" w:eastAsia="仿宋_GB2312" w:hint="eastAsia"/>
          <w:sz w:val="24"/>
          <w:szCs w:val="24"/>
        </w:rPr>
        <w:t>需要报送，银行有义务提供交易地点所属国别或地区，如果确有困难，可暂时为空。</w:t>
      </w:r>
    </w:p>
    <w:p w:rsidR="00D55FFB" w:rsidRPr="00D55FFB" w:rsidRDefault="00D55FFB" w:rsidP="00D55FFB">
      <w:pPr>
        <w:spacing w:line="360" w:lineRule="auto"/>
        <w:rPr>
          <w:rFonts w:ascii="仿宋_GB2312" w:eastAsia="仿宋_GB2312"/>
          <w:sz w:val="24"/>
          <w:szCs w:val="24"/>
        </w:rPr>
      </w:pPr>
    </w:p>
    <w:p w:rsidR="00D55FFB" w:rsidRPr="00D55FFB" w:rsidRDefault="00D55FFB" w:rsidP="00D55FFB">
      <w:pPr>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6</w:t>
      </w:r>
      <w:r w:rsidRPr="00D55FFB">
        <w:rPr>
          <w:rFonts w:ascii="宋体" w:eastAsia="宋体" w:hAnsi="宋体" w:hint="eastAsia"/>
          <w:b/>
          <w:sz w:val="24"/>
          <w:szCs w:val="24"/>
        </w:rPr>
        <w:t>：境外卡在境内现钞存取数据是否报送？</w:t>
      </w:r>
    </w:p>
    <w:p w:rsidR="00D55FFB" w:rsidRPr="00D55FFB" w:rsidRDefault="00D55FFB" w:rsidP="00D55FFB">
      <w:pPr>
        <w:spacing w:line="360" w:lineRule="auto"/>
        <w:rPr>
          <w:rFonts w:ascii="仿宋_GB2312" w:eastAsia="仿宋_GB2312"/>
          <w:sz w:val="24"/>
          <w:szCs w:val="24"/>
        </w:rPr>
      </w:pPr>
      <w:r w:rsidRPr="00D55FFB">
        <w:rPr>
          <w:rFonts w:ascii="仿宋_GB2312" w:eastAsia="仿宋_GB2312" w:hint="eastAsia"/>
          <w:sz w:val="24"/>
          <w:szCs w:val="24"/>
        </w:rPr>
        <w:t>答：不需要报送。</w:t>
      </w:r>
    </w:p>
    <w:p w:rsidR="00D55FFB" w:rsidRPr="00D55FFB" w:rsidRDefault="00D55FFB" w:rsidP="00D55FFB">
      <w:pPr>
        <w:spacing w:line="360" w:lineRule="auto"/>
        <w:rPr>
          <w:rFonts w:ascii="仿宋_GB2312" w:eastAsia="仿宋_GB2312"/>
          <w:b/>
          <w:sz w:val="24"/>
          <w:szCs w:val="24"/>
        </w:rPr>
      </w:pPr>
    </w:p>
    <w:p w:rsidR="00D55FFB" w:rsidRPr="00D55FFB" w:rsidRDefault="00D55FFB" w:rsidP="0096123B">
      <w:pPr>
        <w:tabs>
          <w:tab w:val="left" w:pos="6192"/>
        </w:tabs>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7</w:t>
      </w:r>
      <w:r w:rsidRPr="00D55FFB">
        <w:rPr>
          <w:rFonts w:ascii="宋体" w:eastAsia="宋体" w:hAnsi="宋体" w:hint="eastAsia"/>
          <w:b/>
          <w:sz w:val="24"/>
          <w:szCs w:val="24"/>
        </w:rPr>
        <w:t>：关于跨行存取外币现钞采集问题。</w:t>
      </w:r>
      <w:r w:rsidR="0096123B">
        <w:rPr>
          <w:rFonts w:ascii="宋体" w:eastAsia="宋体" w:hAnsi="宋体"/>
          <w:b/>
          <w:sz w:val="24"/>
          <w:szCs w:val="24"/>
        </w:rPr>
        <w:tab/>
      </w:r>
    </w:p>
    <w:p w:rsidR="00D55FFB" w:rsidRPr="00D55FFB" w:rsidRDefault="00D55FFB" w:rsidP="00D55FFB">
      <w:pPr>
        <w:spacing w:line="360" w:lineRule="auto"/>
        <w:rPr>
          <w:rFonts w:ascii="仿宋_GB2312" w:eastAsia="仿宋_GB2312"/>
          <w:sz w:val="24"/>
          <w:szCs w:val="24"/>
        </w:rPr>
      </w:pPr>
      <w:r w:rsidRPr="00846350">
        <w:rPr>
          <w:rFonts w:ascii="仿宋" w:eastAsia="仿宋" w:hAnsi="仿宋" w:hint="eastAsia"/>
          <w:b/>
          <w:sz w:val="24"/>
          <w:szCs w:val="24"/>
        </w:rPr>
        <w:t>答：</w:t>
      </w:r>
      <w:r w:rsidRPr="00D55FFB">
        <w:rPr>
          <w:rFonts w:ascii="仿宋_GB2312" w:eastAsia="仿宋_GB2312" w:hint="eastAsia"/>
          <w:sz w:val="24"/>
          <w:szCs w:val="24"/>
        </w:rPr>
        <w:t>按照谁的卡谁报送原则，由开户行集中采集。如中行卡在工行提钞，工行不报送，中行报送。</w:t>
      </w:r>
    </w:p>
    <w:p w:rsidR="00D55FFB" w:rsidRPr="00D55FFB" w:rsidRDefault="00D55FFB" w:rsidP="00D55FFB">
      <w:pPr>
        <w:spacing w:line="360" w:lineRule="auto"/>
        <w:rPr>
          <w:rFonts w:ascii="仿宋_GB2312" w:eastAsia="仿宋_GB2312" w:hAnsiTheme="minorEastAsia"/>
          <w:b/>
          <w:sz w:val="24"/>
          <w:szCs w:val="24"/>
        </w:rPr>
      </w:pPr>
    </w:p>
    <w:p w:rsidR="00D55FFB" w:rsidRPr="00D55FFB" w:rsidRDefault="00D55FFB" w:rsidP="00D55FFB">
      <w:pPr>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8</w:t>
      </w:r>
      <w:r w:rsidRPr="00D55FFB">
        <w:rPr>
          <w:rFonts w:ascii="宋体" w:eastAsia="宋体" w:hAnsi="宋体" w:hint="eastAsia"/>
          <w:b/>
          <w:sz w:val="24"/>
          <w:szCs w:val="24"/>
        </w:rPr>
        <w:t>：两种外币之间的兑换是否报送？</w:t>
      </w:r>
    </w:p>
    <w:p w:rsidR="00D55FFB" w:rsidRPr="00D55FFB" w:rsidRDefault="00D55FFB" w:rsidP="00D55FFB">
      <w:pPr>
        <w:spacing w:line="360" w:lineRule="auto"/>
        <w:rPr>
          <w:rFonts w:ascii="仿宋_GB2312" w:eastAsia="仿宋_GB2312" w:hAnsiTheme="minorEastAsia"/>
          <w:sz w:val="24"/>
          <w:szCs w:val="24"/>
        </w:rPr>
      </w:pPr>
      <w:r w:rsidRPr="00846350">
        <w:rPr>
          <w:rFonts w:ascii="仿宋" w:eastAsia="仿宋" w:hAnsi="仿宋" w:hint="eastAsia"/>
          <w:b/>
          <w:sz w:val="24"/>
          <w:szCs w:val="24"/>
        </w:rPr>
        <w:t>答：</w:t>
      </w:r>
      <w:r w:rsidRPr="00D55FFB">
        <w:rPr>
          <w:rFonts w:ascii="仿宋_GB2312" w:eastAsia="仿宋_GB2312" w:hAnsiTheme="minorEastAsia" w:hint="eastAsia"/>
          <w:sz w:val="24"/>
          <w:szCs w:val="24"/>
        </w:rPr>
        <w:t>通过账户的兑换需要报送，如手持外币现钞兑换成另一种外币现钞的，不报送。</w:t>
      </w:r>
    </w:p>
    <w:p w:rsidR="00D55FFB" w:rsidRDefault="00D55FFB" w:rsidP="00D55FFB">
      <w:pPr>
        <w:spacing w:line="360" w:lineRule="auto"/>
        <w:rPr>
          <w:rFonts w:ascii="仿宋_GB2312" w:eastAsia="仿宋_GB2312" w:hAnsiTheme="minorEastAsia"/>
          <w:b/>
          <w:sz w:val="24"/>
          <w:szCs w:val="24"/>
        </w:rPr>
      </w:pPr>
    </w:p>
    <w:p w:rsidR="00D55FFB" w:rsidRPr="00D55FFB" w:rsidRDefault="00D55FFB" w:rsidP="00D55FFB">
      <w:pPr>
        <w:spacing w:line="360" w:lineRule="auto"/>
        <w:rPr>
          <w:rFonts w:ascii="宋体" w:eastAsia="宋体" w:hAnsi="宋体"/>
          <w:b/>
          <w:sz w:val="24"/>
          <w:szCs w:val="24"/>
        </w:rPr>
      </w:pPr>
      <w:r w:rsidRPr="00D55FFB">
        <w:rPr>
          <w:rFonts w:ascii="宋体" w:eastAsia="宋体" w:hAnsi="宋体" w:hint="eastAsia"/>
          <w:b/>
          <w:sz w:val="24"/>
          <w:szCs w:val="24"/>
        </w:rPr>
        <w:t>问题</w:t>
      </w:r>
      <w:r w:rsidR="0011186F">
        <w:rPr>
          <w:rFonts w:ascii="宋体" w:eastAsia="宋体" w:hAnsi="宋体" w:hint="eastAsia"/>
          <w:b/>
          <w:sz w:val="24"/>
          <w:szCs w:val="24"/>
        </w:rPr>
        <w:t>9</w:t>
      </w:r>
      <w:r w:rsidRPr="00D55FFB">
        <w:rPr>
          <w:rFonts w:ascii="宋体" w:eastAsia="宋体" w:hAnsi="宋体" w:hint="eastAsia"/>
          <w:b/>
          <w:sz w:val="24"/>
          <w:szCs w:val="24"/>
        </w:rPr>
        <w:t>：数据报送中证件类型的归类？</w:t>
      </w:r>
    </w:p>
    <w:p w:rsidR="00D55FFB" w:rsidRDefault="00D55FFB" w:rsidP="006629EB">
      <w:pPr>
        <w:spacing w:line="360" w:lineRule="auto"/>
        <w:rPr>
          <w:rFonts w:ascii="仿宋_GB2312" w:eastAsia="仿宋_GB2312" w:hAnsiTheme="minorEastAsia"/>
          <w:sz w:val="24"/>
          <w:szCs w:val="24"/>
        </w:rPr>
      </w:pPr>
      <w:r w:rsidRPr="00846350">
        <w:rPr>
          <w:rFonts w:ascii="仿宋" w:eastAsia="仿宋" w:hAnsi="仿宋" w:hint="eastAsia"/>
          <w:b/>
          <w:sz w:val="24"/>
          <w:szCs w:val="24"/>
        </w:rPr>
        <w:t>答：</w:t>
      </w:r>
      <w:r w:rsidRPr="00D55FFB">
        <w:rPr>
          <w:rFonts w:ascii="仿宋_GB2312" w:eastAsia="仿宋_GB2312" w:hAnsiTheme="minorEastAsia" w:hint="eastAsia"/>
          <w:sz w:val="24"/>
          <w:szCs w:val="24"/>
        </w:rPr>
        <w:t>为保证数据报送中的证件类型与中国人民银行《个人存款账户实名制规定》</w:t>
      </w:r>
      <w:r w:rsidRPr="00D55FFB">
        <w:rPr>
          <w:rFonts w:ascii="仿宋_GB2312" w:eastAsia="仿宋_GB2312" w:hAnsiTheme="minorEastAsia" w:hint="eastAsia"/>
          <w:sz w:val="24"/>
          <w:szCs w:val="24"/>
        </w:rPr>
        <w:lastRenderedPageBreak/>
        <w:t>（国务院令 第285号）中实名证件种类一致，居民身份证、临时居民身份证及户口簿证件归入现钞存取证件类型中居民身份证（01）项下；台湾居民来往大陆通行证或者其他台湾有效旅行证件归入现钞存取证件类型中台湾居民来往大陆通行证（07）项下。</w:t>
      </w:r>
    </w:p>
    <w:p w:rsidR="005B77D6" w:rsidRDefault="005B77D6" w:rsidP="006629EB">
      <w:pPr>
        <w:spacing w:line="360" w:lineRule="auto"/>
        <w:rPr>
          <w:rFonts w:ascii="仿宋_GB2312" w:eastAsia="仿宋_GB2312" w:hAnsiTheme="minorEastAsia"/>
          <w:sz w:val="24"/>
          <w:szCs w:val="24"/>
        </w:rPr>
      </w:pPr>
    </w:p>
    <w:p w:rsidR="005B77D6" w:rsidRPr="009E7CD9" w:rsidRDefault="005B77D6" w:rsidP="005B77D6">
      <w:pPr>
        <w:spacing w:line="360" w:lineRule="auto"/>
        <w:rPr>
          <w:rFonts w:asciiTheme="minorEastAsia" w:hAnsiTheme="minorEastAsia"/>
          <w:b/>
          <w:color w:val="FF0000"/>
          <w:sz w:val="24"/>
          <w:szCs w:val="24"/>
        </w:rPr>
      </w:pPr>
      <w:r w:rsidRPr="005B77D6">
        <w:rPr>
          <w:rFonts w:ascii="宋体" w:eastAsia="宋体" w:hAnsi="宋体" w:hint="eastAsia"/>
          <w:b/>
          <w:sz w:val="24"/>
          <w:szCs w:val="24"/>
        </w:rPr>
        <w:t>问题</w:t>
      </w:r>
      <w:r w:rsidR="0011186F">
        <w:rPr>
          <w:rFonts w:ascii="宋体" w:eastAsia="宋体" w:hAnsi="宋体" w:hint="eastAsia"/>
          <w:b/>
          <w:sz w:val="24"/>
          <w:szCs w:val="24"/>
        </w:rPr>
        <w:t>10</w:t>
      </w:r>
      <w:r w:rsidRPr="005B77D6">
        <w:rPr>
          <w:rFonts w:ascii="宋体" w:eastAsia="宋体" w:hAnsi="宋体" w:hint="eastAsia"/>
          <w:b/>
          <w:sz w:val="24"/>
          <w:szCs w:val="24"/>
        </w:rPr>
        <w:t>：关于国际外汇资金主账户和国内外汇资金主账户境内划转数据的申报。</w:t>
      </w:r>
    </w:p>
    <w:p w:rsidR="005B77D6" w:rsidRPr="005B77D6" w:rsidRDefault="005B77D6" w:rsidP="005B77D6">
      <w:pPr>
        <w:spacing w:line="360" w:lineRule="auto"/>
        <w:rPr>
          <w:rFonts w:ascii="仿宋_GB2312" w:eastAsia="仿宋_GB2312" w:hAnsiTheme="minorEastAsia"/>
          <w:sz w:val="24"/>
          <w:szCs w:val="24"/>
        </w:rPr>
      </w:pPr>
      <w:r w:rsidRPr="005B77D6">
        <w:rPr>
          <w:rFonts w:ascii="仿宋" w:eastAsia="仿宋" w:hAnsi="仿宋" w:hint="eastAsia"/>
          <w:b/>
          <w:sz w:val="24"/>
          <w:szCs w:val="24"/>
        </w:rPr>
        <w:t>答：</w:t>
      </w:r>
      <w:r w:rsidRPr="005B77D6">
        <w:rPr>
          <w:rFonts w:ascii="仿宋_GB2312" w:eastAsia="仿宋_GB2312" w:hAnsiTheme="minorEastAsia" w:hint="eastAsia"/>
          <w:sz w:val="24"/>
          <w:szCs w:val="24"/>
        </w:rPr>
        <w:t>申报国际外汇资金主账户和国内外汇资金主账户之间划转数据时，交易性质应按照实际情况进行填写，而不是填写“</w:t>
      </w:r>
      <w:r w:rsidRPr="005B77D6">
        <w:rPr>
          <w:rFonts w:ascii="仿宋_GB2312" w:eastAsia="仿宋_GB2312" w:hAnsiTheme="minorEastAsia"/>
          <w:sz w:val="24"/>
          <w:szCs w:val="24"/>
        </w:rPr>
        <w:t>909010同名账户资金转出</w:t>
      </w:r>
      <w:r w:rsidRPr="005B77D6">
        <w:rPr>
          <w:rFonts w:ascii="仿宋_GB2312" w:eastAsia="仿宋_GB2312" w:hAnsiTheme="minorEastAsia"/>
          <w:sz w:val="24"/>
          <w:szCs w:val="24"/>
        </w:rPr>
        <w:t>”</w:t>
      </w:r>
      <w:r w:rsidRPr="005B77D6">
        <w:rPr>
          <w:rFonts w:ascii="仿宋_GB2312" w:eastAsia="仿宋_GB2312" w:hAnsiTheme="minorEastAsia"/>
          <w:sz w:val="24"/>
          <w:szCs w:val="24"/>
        </w:rPr>
        <w:t>。</w:t>
      </w:r>
    </w:p>
    <w:p w:rsidR="00277B86" w:rsidRPr="003666EA" w:rsidRDefault="00277B86" w:rsidP="006629EB">
      <w:pPr>
        <w:spacing w:line="360" w:lineRule="auto"/>
        <w:rPr>
          <w:rFonts w:asciiTheme="minorEastAsia" w:hAnsiTheme="minorEastAsia"/>
          <w:b/>
          <w:sz w:val="24"/>
          <w:szCs w:val="24"/>
        </w:rPr>
      </w:pPr>
    </w:p>
    <w:p w:rsidR="00277B86" w:rsidRPr="003666EA" w:rsidRDefault="003202E0" w:rsidP="006629EB">
      <w:pPr>
        <w:spacing w:line="360" w:lineRule="auto"/>
        <w:outlineLvl w:val="0"/>
        <w:rPr>
          <w:rFonts w:asciiTheme="minorEastAsia" w:hAnsiTheme="minorEastAsia"/>
          <w:b/>
          <w:sz w:val="24"/>
          <w:szCs w:val="24"/>
        </w:rPr>
      </w:pPr>
      <w:r w:rsidRPr="003666EA">
        <w:rPr>
          <w:rFonts w:ascii="黑体" w:eastAsia="黑体" w:hint="eastAsia"/>
          <w:sz w:val="24"/>
          <w:szCs w:val="24"/>
        </w:rPr>
        <w:t>三</w:t>
      </w:r>
      <w:r w:rsidR="00277B86" w:rsidRPr="003666EA">
        <w:rPr>
          <w:rFonts w:ascii="黑体" w:eastAsia="黑体" w:hint="eastAsia"/>
          <w:sz w:val="24"/>
          <w:szCs w:val="24"/>
        </w:rPr>
        <w:t>、《金融机构外汇业务数据采集规范（1.0）版》的相关技术问题</w:t>
      </w: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77B86" w:rsidRPr="003666EA">
        <w:rPr>
          <w:rFonts w:asciiTheme="minorEastAsia" w:hAnsiTheme="minorEastAsia" w:hint="eastAsia"/>
          <w:b/>
          <w:sz w:val="24"/>
          <w:szCs w:val="24"/>
        </w:rPr>
        <w:t>1</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关于接口开发和验收</w:t>
      </w:r>
      <w:r w:rsidR="00307A32" w:rsidRPr="003666EA">
        <w:rPr>
          <w:rFonts w:asciiTheme="minorEastAsia" w:hAnsiTheme="minorEastAsia" w:hint="eastAsia"/>
          <w:b/>
          <w:sz w:val="24"/>
          <w:szCs w:val="24"/>
        </w:rPr>
        <w:t>。对于选择接口方式报送数据的机构，对于无业务的报表是否需要开发相关接口文件。</w:t>
      </w:r>
    </w:p>
    <w:p w:rsidR="005B77D6" w:rsidRPr="003666EA" w:rsidRDefault="00277B86" w:rsidP="005B77D6">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5B77D6" w:rsidRPr="003666EA">
        <w:rPr>
          <w:rFonts w:ascii="仿宋_GB2312" w:eastAsia="仿宋_GB2312" w:hAnsi="仿宋" w:hint="eastAsia"/>
          <w:sz w:val="24"/>
          <w:szCs w:val="24"/>
        </w:rPr>
        <w:t>有关对外金融资产负债及交易数据零报送和无业务数据报送要求，详见本次问题</w:t>
      </w:r>
      <w:r w:rsidR="00697284">
        <w:rPr>
          <w:rFonts w:ascii="仿宋_GB2312" w:eastAsia="仿宋_GB2312" w:hAnsi="仿宋" w:hint="eastAsia"/>
          <w:sz w:val="24"/>
          <w:szCs w:val="24"/>
        </w:rPr>
        <w:t>解答</w:t>
      </w:r>
      <w:r w:rsidR="005B77D6" w:rsidRPr="003666EA">
        <w:rPr>
          <w:rFonts w:ascii="仿宋_GB2312" w:eastAsia="仿宋_GB2312" w:hAnsi="仿宋" w:hint="eastAsia"/>
          <w:sz w:val="24"/>
          <w:szCs w:val="24"/>
        </w:rPr>
        <w:t>第一部分问题</w:t>
      </w:r>
      <w:r w:rsidR="0096123B">
        <w:rPr>
          <w:rFonts w:ascii="仿宋_GB2312" w:eastAsia="仿宋_GB2312" w:hAnsi="仿宋" w:hint="eastAsia"/>
          <w:sz w:val="24"/>
          <w:szCs w:val="24"/>
        </w:rPr>
        <w:t>6</w:t>
      </w:r>
      <w:r w:rsidR="005B77D6" w:rsidRPr="003666EA">
        <w:rPr>
          <w:rFonts w:ascii="仿宋_GB2312" w:eastAsia="仿宋_GB2312" w:hAnsi="仿宋" w:hint="eastAsia"/>
          <w:sz w:val="24"/>
          <w:szCs w:val="24"/>
        </w:rPr>
        <w:t>的答复。</w:t>
      </w:r>
    </w:p>
    <w:p w:rsidR="00277B86" w:rsidRPr="003666EA" w:rsidRDefault="005B77D6" w:rsidP="005B77D6">
      <w:pPr>
        <w:spacing w:line="360" w:lineRule="auto"/>
        <w:ind w:firstLineChars="200" w:firstLine="480"/>
        <w:rPr>
          <w:rFonts w:asciiTheme="minorEastAsia" w:hAnsiTheme="minorEastAsia"/>
          <w:sz w:val="24"/>
          <w:szCs w:val="24"/>
        </w:rPr>
      </w:pPr>
      <w:r w:rsidRPr="003666EA">
        <w:rPr>
          <w:rFonts w:ascii="仿宋_GB2312" w:eastAsia="仿宋_GB2312" w:hAnsi="仿宋" w:hint="eastAsia"/>
          <w:sz w:val="24"/>
          <w:szCs w:val="24"/>
        </w:rPr>
        <w:t>报送方式选择全接口的机构，只需开发</w:t>
      </w:r>
      <w:r>
        <w:rPr>
          <w:rFonts w:ascii="仿宋_GB2312" w:eastAsia="仿宋_GB2312" w:hAnsi="仿宋" w:hint="eastAsia"/>
          <w:sz w:val="24"/>
          <w:szCs w:val="24"/>
        </w:rPr>
        <w:t>程序生成</w:t>
      </w:r>
      <w:r w:rsidRPr="003666EA">
        <w:rPr>
          <w:rFonts w:ascii="仿宋_GB2312" w:eastAsia="仿宋_GB2312" w:hAnsi="仿宋" w:hint="eastAsia"/>
          <w:sz w:val="24"/>
          <w:szCs w:val="24"/>
        </w:rPr>
        <w:t>自身涉及到的业务所对应的接口文件。</w:t>
      </w:r>
    </w:p>
    <w:p w:rsidR="00277B86" w:rsidRPr="003666EA" w:rsidRDefault="00277B86" w:rsidP="006629EB">
      <w:pPr>
        <w:spacing w:line="360" w:lineRule="auto"/>
        <w:rPr>
          <w:rFonts w:asciiTheme="minorEastAsia" w:hAnsiTheme="minorEastAsia"/>
          <w:b/>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77B86" w:rsidRPr="003666EA">
        <w:rPr>
          <w:rFonts w:asciiTheme="minorEastAsia" w:hAnsiTheme="minorEastAsia" w:hint="eastAsia"/>
          <w:b/>
          <w:sz w:val="24"/>
          <w:szCs w:val="24"/>
        </w:rPr>
        <w:t>2</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是否可以先使用界面报送，开发完成后再使用接口方式报送？</w:t>
      </w:r>
    </w:p>
    <w:p w:rsidR="00277B86" w:rsidRPr="003666EA" w:rsidRDefault="00277B86" w:rsidP="006629EB">
      <w:pPr>
        <w:spacing w:line="360" w:lineRule="auto"/>
        <w:rPr>
          <w:rFonts w:ascii="仿宋" w:eastAsia="仿宋" w:hAnsi="仿宋"/>
          <w:color w:val="FF0000"/>
          <w:sz w:val="24"/>
          <w:szCs w:val="24"/>
        </w:rPr>
      </w:pPr>
      <w:r w:rsidRPr="003666EA">
        <w:rPr>
          <w:rFonts w:ascii="仿宋" w:eastAsia="仿宋" w:hAnsi="仿宋" w:hint="eastAsia"/>
          <w:b/>
          <w:sz w:val="24"/>
          <w:szCs w:val="24"/>
        </w:rPr>
        <w:t>答：</w:t>
      </w:r>
      <w:r w:rsidR="005B77D6" w:rsidRPr="003666EA">
        <w:rPr>
          <w:rFonts w:ascii="仿宋_GB2312" w:eastAsia="仿宋_GB2312" w:hAnsi="仿宋" w:hint="eastAsia"/>
          <w:sz w:val="24"/>
          <w:szCs w:val="24"/>
        </w:rPr>
        <w:t>可以。银行在申请</w:t>
      </w:r>
      <w:r w:rsidR="005B77D6">
        <w:rPr>
          <w:rFonts w:ascii="仿宋_GB2312" w:eastAsia="仿宋_GB2312" w:hAnsi="仿宋" w:hint="eastAsia"/>
          <w:sz w:val="24"/>
          <w:szCs w:val="24"/>
        </w:rPr>
        <w:t>正式</w:t>
      </w:r>
      <w:r w:rsidR="005B77D6" w:rsidRPr="003666EA">
        <w:rPr>
          <w:rFonts w:ascii="仿宋_GB2312" w:eastAsia="仿宋_GB2312" w:hAnsi="仿宋" w:hint="eastAsia"/>
          <w:sz w:val="24"/>
          <w:szCs w:val="24"/>
        </w:rPr>
        <w:t>切换接口方式之前，必须做好接口程序开发、相关软硬件准备以及与国家外汇管理局网络接入等工作</w:t>
      </w:r>
      <w:r w:rsidR="005B77D6">
        <w:rPr>
          <w:rFonts w:ascii="仿宋_GB2312" w:eastAsia="仿宋_GB2312" w:hAnsi="仿宋" w:hint="eastAsia"/>
          <w:sz w:val="24"/>
          <w:szCs w:val="24"/>
        </w:rPr>
        <w:t>，并提交</w:t>
      </w:r>
      <w:r w:rsidR="005B77D6" w:rsidRPr="00172D05">
        <w:rPr>
          <w:rFonts w:ascii="仿宋_GB2312" w:eastAsia="仿宋_GB2312" w:hAnsi="仿宋" w:cs="Times New Roman" w:hint="eastAsia"/>
          <w:sz w:val="24"/>
          <w:szCs w:val="24"/>
        </w:rPr>
        <w:t>书面</w:t>
      </w:r>
      <w:r w:rsidR="005B77D6" w:rsidRPr="00F5403D">
        <w:rPr>
          <w:rFonts w:ascii="仿宋_GB2312" w:eastAsia="仿宋_GB2312" w:hAnsi="仿宋" w:hint="eastAsia"/>
          <w:sz w:val="24"/>
          <w:szCs w:val="24"/>
        </w:rPr>
        <w:t>申请</w:t>
      </w:r>
      <w:r w:rsidR="005B77D6" w:rsidRPr="00F5403D">
        <w:rPr>
          <w:rFonts w:ascii="仿宋_GB2312" w:eastAsia="仿宋_GB2312" w:hAnsi="仿宋" w:cs="Times New Roman" w:hint="eastAsia"/>
          <w:sz w:val="24"/>
          <w:szCs w:val="24"/>
        </w:rPr>
        <w:t>和《银行联调计划表》</w:t>
      </w:r>
      <w:r w:rsidR="005B77D6">
        <w:rPr>
          <w:rFonts w:ascii="仿宋_GB2312" w:eastAsia="仿宋_GB2312" w:hAnsi="仿宋" w:hint="eastAsia"/>
          <w:sz w:val="24"/>
          <w:szCs w:val="24"/>
        </w:rPr>
        <w:t>到所在地外汇局科技部门，申请</w:t>
      </w:r>
      <w:r w:rsidR="005B77D6" w:rsidRPr="00F5403D">
        <w:rPr>
          <w:rFonts w:ascii="仿宋_GB2312" w:eastAsia="仿宋_GB2312" w:hAnsi="仿宋" w:hint="eastAsia"/>
          <w:sz w:val="24"/>
          <w:szCs w:val="24"/>
        </w:rPr>
        <w:t>中应详细说明前期准备工作情况、接口方式切换内容和时间。所在地外汇局收到银行书面申请</w:t>
      </w:r>
      <w:r w:rsidR="005B77D6" w:rsidRPr="00F5403D">
        <w:rPr>
          <w:rFonts w:ascii="仿宋_GB2312" w:eastAsia="仿宋_GB2312" w:hAnsi="仿宋" w:cs="Times New Roman" w:hint="eastAsia"/>
          <w:sz w:val="24"/>
          <w:szCs w:val="24"/>
        </w:rPr>
        <w:t>和《银行联调计划表》</w:t>
      </w:r>
      <w:r w:rsidR="005B77D6" w:rsidRPr="00F5403D">
        <w:rPr>
          <w:rFonts w:ascii="仿宋_GB2312" w:eastAsia="仿宋_GB2312" w:hAnsi="仿宋" w:hint="eastAsia"/>
          <w:sz w:val="24"/>
          <w:szCs w:val="24"/>
        </w:rPr>
        <w:t>后逐级上报至国家外汇管理局</w:t>
      </w:r>
      <w:r w:rsidR="005B77D6">
        <w:rPr>
          <w:rFonts w:ascii="仿宋_GB2312" w:eastAsia="仿宋_GB2312" w:hAnsi="仿宋" w:hint="eastAsia"/>
          <w:sz w:val="24"/>
          <w:szCs w:val="24"/>
        </w:rPr>
        <w:t>科技司</w:t>
      </w:r>
      <w:r w:rsidR="005B77D6" w:rsidRPr="00F5403D">
        <w:rPr>
          <w:rFonts w:ascii="仿宋_GB2312" w:eastAsia="仿宋_GB2312" w:hAnsi="仿宋" w:hint="eastAsia"/>
          <w:sz w:val="24"/>
          <w:szCs w:val="24"/>
        </w:rPr>
        <w:t>，并依据总局批复安排银</w:t>
      </w:r>
      <w:r w:rsidR="005B77D6" w:rsidRPr="00172D05">
        <w:rPr>
          <w:rFonts w:ascii="仿宋_GB2312" w:eastAsia="仿宋_GB2312" w:hAnsi="仿宋" w:cs="Times New Roman" w:hint="eastAsia"/>
          <w:sz w:val="24"/>
          <w:szCs w:val="24"/>
        </w:rPr>
        <w:t>行切换接口方式。</w:t>
      </w:r>
    </w:p>
    <w:p w:rsidR="00277B86" w:rsidRPr="003666EA" w:rsidRDefault="00277B86" w:rsidP="006629EB">
      <w:pPr>
        <w:spacing w:line="360" w:lineRule="auto"/>
        <w:rPr>
          <w:rFonts w:asciiTheme="minorEastAsia" w:hAnsiTheme="minorEastAsia"/>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77B86" w:rsidRPr="003666EA">
        <w:rPr>
          <w:rFonts w:asciiTheme="minorEastAsia" w:hAnsiTheme="minorEastAsia" w:hint="eastAsia"/>
          <w:b/>
          <w:sz w:val="24"/>
          <w:szCs w:val="24"/>
        </w:rPr>
        <w:t>3</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是否能提供界面报送方式中规范文件导入使用的模板？</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5B77D6">
        <w:rPr>
          <w:rFonts w:ascii="仿宋_GB2312" w:eastAsia="仿宋_GB2312" w:hAnsi="仿宋" w:hint="eastAsia"/>
          <w:sz w:val="24"/>
          <w:szCs w:val="24"/>
        </w:rPr>
        <w:t>在系统操作时将提供规范文件导入的模板</w:t>
      </w:r>
      <w:r w:rsidR="005B77D6" w:rsidRPr="003666EA">
        <w:rPr>
          <w:rFonts w:ascii="仿宋_GB2312" w:eastAsia="仿宋_GB2312" w:hAnsi="仿宋" w:hint="eastAsia"/>
          <w:sz w:val="24"/>
          <w:szCs w:val="24"/>
        </w:rPr>
        <w:t>。原则上，导入模板根据</w:t>
      </w:r>
      <w:r w:rsidR="00222F54">
        <w:rPr>
          <w:rFonts w:ascii="仿宋_GB2312" w:eastAsia="仿宋_GB2312" w:hAnsi="仿宋" w:hint="eastAsia"/>
          <w:sz w:val="24"/>
          <w:szCs w:val="24"/>
        </w:rPr>
        <w:t>汇发[2014]18号文</w:t>
      </w:r>
      <w:r w:rsidR="005B77D6" w:rsidRPr="003666EA">
        <w:rPr>
          <w:rFonts w:ascii="仿宋_GB2312" w:eastAsia="仿宋_GB2312" w:hAnsi="仿宋" w:hint="eastAsia"/>
          <w:sz w:val="24"/>
          <w:szCs w:val="24"/>
        </w:rPr>
        <w:t>第六章内容进行设计。</w:t>
      </w:r>
    </w:p>
    <w:p w:rsidR="00277B86" w:rsidRPr="003666EA" w:rsidRDefault="00277B86" w:rsidP="006629EB">
      <w:pPr>
        <w:spacing w:line="360" w:lineRule="auto"/>
        <w:rPr>
          <w:rFonts w:asciiTheme="minorEastAsia" w:hAnsiTheme="minorEastAsia"/>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问题4：</w:t>
      </w:r>
      <w:r w:rsidR="00277B86" w:rsidRPr="003666EA">
        <w:rPr>
          <w:rFonts w:asciiTheme="minorEastAsia" w:hAnsiTheme="minorEastAsia" w:hint="eastAsia"/>
          <w:b/>
          <w:sz w:val="24"/>
          <w:szCs w:val="24"/>
        </w:rPr>
        <w:t>是否能提供“接口文件错误反馈类型说明”？</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lastRenderedPageBreak/>
        <w:t>答：</w:t>
      </w:r>
      <w:r w:rsidR="005B77D6" w:rsidRPr="003666EA">
        <w:rPr>
          <w:rFonts w:ascii="仿宋_GB2312" w:eastAsia="仿宋_GB2312" w:hAnsi="仿宋" w:hint="eastAsia"/>
          <w:sz w:val="24"/>
          <w:szCs w:val="24"/>
        </w:rPr>
        <w:t>接口反馈文件的格式已在</w:t>
      </w:r>
      <w:r w:rsidR="005B77D6">
        <w:rPr>
          <w:rFonts w:ascii="仿宋_GB2312" w:eastAsia="仿宋_GB2312" w:hAnsi="仿宋" w:hint="eastAsia"/>
          <w:sz w:val="24"/>
          <w:szCs w:val="24"/>
        </w:rPr>
        <w:t>汇发[2014]18号文</w:t>
      </w:r>
      <w:r w:rsidR="005B77D6" w:rsidRPr="003666EA">
        <w:rPr>
          <w:rFonts w:ascii="仿宋_GB2312" w:eastAsia="仿宋_GB2312" w:hAnsi="仿宋" w:hint="eastAsia"/>
          <w:sz w:val="24"/>
          <w:szCs w:val="24"/>
        </w:rPr>
        <w:t>第五章中说明。具体反馈内容</w:t>
      </w:r>
      <w:r w:rsidR="005B77D6">
        <w:rPr>
          <w:rFonts w:ascii="仿宋_GB2312" w:eastAsia="仿宋_GB2312" w:hAnsi="仿宋" w:hint="eastAsia"/>
          <w:sz w:val="24"/>
          <w:szCs w:val="24"/>
        </w:rPr>
        <w:t>待定</w:t>
      </w:r>
      <w:r w:rsidR="005B77D6" w:rsidRPr="003666EA">
        <w:rPr>
          <w:rFonts w:ascii="仿宋_GB2312" w:eastAsia="仿宋_GB2312" w:hAnsi="仿宋" w:hint="eastAsia"/>
          <w:sz w:val="24"/>
          <w:szCs w:val="24"/>
        </w:rPr>
        <w:t>，错误反馈类型根据</w:t>
      </w:r>
      <w:r w:rsidR="00222F54">
        <w:rPr>
          <w:rFonts w:ascii="仿宋_GB2312" w:eastAsia="仿宋_GB2312" w:hAnsi="仿宋" w:hint="eastAsia"/>
          <w:sz w:val="24"/>
          <w:szCs w:val="24"/>
        </w:rPr>
        <w:t>该文</w:t>
      </w:r>
      <w:r w:rsidR="005B77D6">
        <w:rPr>
          <w:rFonts w:ascii="仿宋_GB2312" w:eastAsia="仿宋_GB2312" w:hAnsi="仿宋" w:hint="eastAsia"/>
          <w:sz w:val="24"/>
          <w:szCs w:val="24"/>
        </w:rPr>
        <w:t>中的校验</w:t>
      </w:r>
      <w:r w:rsidR="005B77D6" w:rsidRPr="003666EA">
        <w:rPr>
          <w:rFonts w:ascii="仿宋_GB2312" w:eastAsia="仿宋_GB2312" w:hAnsi="仿宋" w:hint="eastAsia"/>
          <w:sz w:val="24"/>
          <w:szCs w:val="24"/>
        </w:rPr>
        <w:t>规则进行设计。</w:t>
      </w:r>
    </w:p>
    <w:p w:rsidR="00277B86" w:rsidRPr="003666EA" w:rsidRDefault="00277B86" w:rsidP="006629EB">
      <w:pPr>
        <w:spacing w:line="360" w:lineRule="auto"/>
        <w:rPr>
          <w:rFonts w:asciiTheme="minorEastAsia" w:hAnsiTheme="minorEastAsia"/>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277B86" w:rsidRPr="003666EA">
        <w:rPr>
          <w:rFonts w:asciiTheme="minorEastAsia" w:hAnsiTheme="minorEastAsia" w:hint="eastAsia"/>
          <w:b/>
          <w:sz w:val="24"/>
          <w:szCs w:val="24"/>
        </w:rPr>
        <w:t>5</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主体类型、账户性质、结汇用途等代码调整部分何时启用？</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5B77D6" w:rsidRPr="006D0DBB">
        <w:rPr>
          <w:rFonts w:ascii="仿宋_GB2312" w:eastAsia="仿宋_GB2312" w:hAnsi="仿宋" w:hint="eastAsia"/>
          <w:sz w:val="24"/>
          <w:szCs w:val="24"/>
        </w:rPr>
        <w:t>由于上述三类代码调整仅涉及部分文字和值的调整，对接口影响较小，且部分银行有在上海自贸区开展业务的需要，建议尽快调整，以免影响相关分行业务开展。</w:t>
      </w:r>
      <w:r w:rsidR="005B77D6">
        <w:rPr>
          <w:rFonts w:ascii="仿宋_GB2312" w:eastAsia="仿宋_GB2312" w:hAnsi="仿宋" w:hint="eastAsia"/>
          <w:sz w:val="24"/>
          <w:szCs w:val="24"/>
        </w:rPr>
        <w:t>自</w:t>
      </w:r>
      <w:r w:rsidR="00697284">
        <w:rPr>
          <w:rFonts w:ascii="仿宋_GB2312" w:eastAsia="仿宋_GB2312" w:hAnsi="仿宋" w:hint="eastAsia"/>
          <w:sz w:val="24"/>
          <w:szCs w:val="24"/>
        </w:rPr>
        <w:t>汇发[2014]18号文</w:t>
      </w:r>
      <w:r w:rsidR="005B77D6">
        <w:rPr>
          <w:rFonts w:ascii="仿宋_GB2312" w:eastAsia="仿宋_GB2312" w:hAnsi="仿宋" w:hint="eastAsia"/>
          <w:sz w:val="24"/>
          <w:szCs w:val="24"/>
        </w:rPr>
        <w:t>发布之日起，</w:t>
      </w:r>
      <w:r w:rsidR="005B77D6" w:rsidRPr="003666EA">
        <w:rPr>
          <w:rFonts w:ascii="仿宋_GB2312" w:eastAsia="仿宋_GB2312" w:hAnsi="仿宋" w:hint="eastAsia"/>
          <w:sz w:val="24"/>
          <w:szCs w:val="24"/>
        </w:rPr>
        <w:t>外汇局可以接收调整后的代码信息。</w:t>
      </w:r>
    </w:p>
    <w:p w:rsidR="00277B86" w:rsidRPr="003666EA" w:rsidRDefault="00277B86" w:rsidP="006629EB">
      <w:pPr>
        <w:spacing w:line="360" w:lineRule="auto"/>
        <w:rPr>
          <w:rFonts w:asciiTheme="minorEastAsia" w:hAnsiTheme="minorEastAsia"/>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11186F">
        <w:rPr>
          <w:rFonts w:asciiTheme="minorEastAsia" w:hAnsiTheme="minorEastAsia" w:hint="eastAsia"/>
          <w:b/>
          <w:sz w:val="24"/>
          <w:szCs w:val="24"/>
        </w:rPr>
        <w:t>6</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个人外币现钞存取数据字典中“业务办理参号”字段的1位业务代码是什么？</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1位业务代码：C-存，Q-取。</w:t>
      </w:r>
    </w:p>
    <w:p w:rsidR="00277B86" w:rsidRPr="003666EA" w:rsidRDefault="00277B86" w:rsidP="006629EB">
      <w:pPr>
        <w:spacing w:line="360" w:lineRule="auto"/>
        <w:rPr>
          <w:rFonts w:ascii="仿宋" w:eastAsia="仿宋" w:hAnsi="仿宋"/>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11186F">
        <w:rPr>
          <w:rFonts w:asciiTheme="minorEastAsia" w:hAnsiTheme="minorEastAsia" w:hint="eastAsia"/>
          <w:b/>
          <w:sz w:val="24"/>
          <w:szCs w:val="24"/>
        </w:rPr>
        <w:t>7</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是否可以部署多套</w:t>
      </w:r>
      <w:r w:rsidR="00FA6D65" w:rsidRPr="003666EA">
        <w:rPr>
          <w:rFonts w:asciiTheme="minorEastAsia" w:hAnsiTheme="minorEastAsia" w:hint="eastAsia"/>
          <w:b/>
          <w:sz w:val="24"/>
          <w:szCs w:val="24"/>
        </w:rPr>
        <w:t>M</w:t>
      </w:r>
      <w:r w:rsidR="00277B86" w:rsidRPr="003666EA">
        <w:rPr>
          <w:rFonts w:asciiTheme="minorEastAsia" w:hAnsiTheme="minorEastAsia" w:hint="eastAsia"/>
          <w:b/>
          <w:sz w:val="24"/>
          <w:szCs w:val="24"/>
        </w:rPr>
        <w:t>TS系统？</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5B77D6">
        <w:rPr>
          <w:rFonts w:ascii="仿宋_GB2312" w:eastAsia="仿宋_GB2312" w:hAnsi="仿宋" w:hint="eastAsia"/>
          <w:sz w:val="24"/>
          <w:szCs w:val="24"/>
        </w:rPr>
        <w:t>一家金融机构</w:t>
      </w:r>
      <w:r w:rsidR="005B77D6" w:rsidRPr="003666EA">
        <w:rPr>
          <w:rFonts w:ascii="仿宋_GB2312" w:eastAsia="仿宋_GB2312" w:hAnsi="仿宋" w:hint="eastAsia"/>
          <w:sz w:val="24"/>
          <w:szCs w:val="24"/>
        </w:rPr>
        <w:t>可以根据性能及部署需要横向扩展，部署</w:t>
      </w:r>
      <w:r w:rsidR="005B77D6">
        <w:rPr>
          <w:rFonts w:ascii="仿宋_GB2312" w:eastAsia="仿宋_GB2312" w:hAnsi="仿宋" w:hint="eastAsia"/>
          <w:sz w:val="24"/>
          <w:szCs w:val="24"/>
        </w:rPr>
        <w:t>多套</w:t>
      </w:r>
      <w:r w:rsidR="005B77D6" w:rsidRPr="003666EA">
        <w:rPr>
          <w:rFonts w:ascii="仿宋_GB2312" w:eastAsia="仿宋_GB2312" w:hAnsi="仿宋" w:hint="eastAsia"/>
          <w:sz w:val="24"/>
          <w:szCs w:val="24"/>
        </w:rPr>
        <w:t>MTS服务器。</w:t>
      </w:r>
    </w:p>
    <w:p w:rsidR="00277B86" w:rsidRPr="003666EA" w:rsidRDefault="00277B86" w:rsidP="006629EB">
      <w:pPr>
        <w:spacing w:line="360" w:lineRule="auto"/>
        <w:rPr>
          <w:rFonts w:asciiTheme="minorEastAsia" w:hAnsiTheme="minorEastAsia"/>
          <w:sz w:val="24"/>
          <w:szCs w:val="24"/>
        </w:rPr>
      </w:pPr>
    </w:p>
    <w:p w:rsidR="00277B86" w:rsidRPr="003666EA" w:rsidRDefault="003202E0"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11186F">
        <w:rPr>
          <w:rFonts w:asciiTheme="minorEastAsia" w:hAnsiTheme="minorEastAsia" w:hint="eastAsia"/>
          <w:b/>
          <w:sz w:val="24"/>
          <w:szCs w:val="24"/>
        </w:rPr>
        <w:t>8</w:t>
      </w:r>
      <w:r w:rsidRPr="003666EA">
        <w:rPr>
          <w:rFonts w:asciiTheme="minorEastAsia" w:hAnsiTheme="minorEastAsia" w:hint="eastAsia"/>
          <w:b/>
          <w:sz w:val="24"/>
          <w:szCs w:val="24"/>
        </w:rPr>
        <w:t>：</w:t>
      </w:r>
      <w:r w:rsidR="00277B86" w:rsidRPr="003666EA">
        <w:rPr>
          <w:rFonts w:asciiTheme="minorEastAsia" w:hAnsiTheme="minorEastAsia" w:hint="eastAsia"/>
          <w:b/>
          <w:sz w:val="24"/>
          <w:szCs w:val="24"/>
        </w:rPr>
        <w:t>界面报送方式也是总对总吗？</w:t>
      </w:r>
    </w:p>
    <w:p w:rsidR="00277B86" w:rsidRPr="003666EA" w:rsidRDefault="00277B86"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Pr="003666EA">
        <w:rPr>
          <w:rFonts w:ascii="仿宋_GB2312" w:eastAsia="仿宋_GB2312" w:hAnsi="仿宋" w:hint="eastAsia"/>
          <w:sz w:val="24"/>
          <w:szCs w:val="24"/>
        </w:rPr>
        <w:t>是。数据由总部统一报送。</w:t>
      </w:r>
    </w:p>
    <w:p w:rsidR="0080064F" w:rsidRPr="003666EA" w:rsidRDefault="0080064F" w:rsidP="006629EB">
      <w:pPr>
        <w:spacing w:line="360" w:lineRule="auto"/>
        <w:rPr>
          <w:rFonts w:asciiTheme="minorEastAsia" w:hAnsiTheme="minorEastAsia"/>
          <w:color w:val="FF0000"/>
          <w:sz w:val="24"/>
          <w:szCs w:val="24"/>
        </w:rPr>
      </w:pPr>
    </w:p>
    <w:p w:rsidR="0080064F" w:rsidRPr="003666EA" w:rsidRDefault="0080064F" w:rsidP="006629EB">
      <w:pPr>
        <w:spacing w:line="360" w:lineRule="auto"/>
        <w:rPr>
          <w:rFonts w:asciiTheme="minorEastAsia" w:hAnsiTheme="minorEastAsia"/>
          <w:b/>
          <w:sz w:val="24"/>
          <w:szCs w:val="24"/>
        </w:rPr>
      </w:pPr>
      <w:r w:rsidRPr="003666EA">
        <w:rPr>
          <w:rFonts w:asciiTheme="minorEastAsia" w:hAnsiTheme="minorEastAsia" w:hint="eastAsia"/>
          <w:b/>
          <w:sz w:val="24"/>
          <w:szCs w:val="24"/>
        </w:rPr>
        <w:t>问题</w:t>
      </w:r>
      <w:r w:rsidR="0011186F">
        <w:rPr>
          <w:rFonts w:asciiTheme="minorEastAsia" w:hAnsiTheme="minorEastAsia" w:hint="eastAsia"/>
          <w:b/>
          <w:sz w:val="24"/>
          <w:szCs w:val="24"/>
        </w:rPr>
        <w:t>9</w:t>
      </w:r>
      <w:r w:rsidRPr="003666EA">
        <w:rPr>
          <w:rFonts w:asciiTheme="minorEastAsia" w:hAnsiTheme="minorEastAsia" w:hint="eastAsia"/>
          <w:b/>
          <w:sz w:val="24"/>
          <w:szCs w:val="24"/>
        </w:rPr>
        <w:t>：关于《对外金融资产负债及交易统计》各报表数据自编码的编码规则，汇发【2014】18号文规定，机构代码为12位，不足12位的补a；报表代码为5位，不足5位的补a。请问a应补在前还是后。</w:t>
      </w:r>
    </w:p>
    <w:p w:rsidR="000544CB" w:rsidRPr="003666EA" w:rsidRDefault="0080064F" w:rsidP="006629EB">
      <w:pPr>
        <w:spacing w:line="360" w:lineRule="auto"/>
        <w:rPr>
          <w:rFonts w:ascii="仿宋_GB2312" w:eastAsia="仿宋_GB2312" w:hAnsi="仿宋"/>
          <w:sz w:val="24"/>
          <w:szCs w:val="24"/>
        </w:rPr>
      </w:pPr>
      <w:r w:rsidRPr="003666EA">
        <w:rPr>
          <w:rFonts w:ascii="仿宋" w:eastAsia="仿宋" w:hAnsi="仿宋" w:hint="eastAsia"/>
          <w:b/>
          <w:sz w:val="24"/>
          <w:szCs w:val="24"/>
        </w:rPr>
        <w:t>答：</w:t>
      </w:r>
      <w:r w:rsidR="000544CB" w:rsidRPr="003666EA">
        <w:rPr>
          <w:rFonts w:ascii="仿宋_GB2312" w:eastAsia="仿宋_GB2312" w:hAnsi="仿宋" w:hint="eastAsia"/>
          <w:sz w:val="24"/>
          <w:szCs w:val="24"/>
        </w:rPr>
        <w:t>机构代码不足12位的情况主要是指使用了9位的组织机构代码，这时，应在组织机构代码后</w:t>
      </w:r>
      <w:r w:rsidRPr="003666EA">
        <w:rPr>
          <w:rFonts w:ascii="仿宋_GB2312" w:eastAsia="仿宋_GB2312" w:hAnsi="仿宋" w:hint="eastAsia"/>
          <w:sz w:val="24"/>
          <w:szCs w:val="24"/>
        </w:rPr>
        <w:t>补</w:t>
      </w:r>
      <w:r w:rsidR="000544CB" w:rsidRPr="003666EA">
        <w:rPr>
          <w:rFonts w:ascii="仿宋_GB2312" w:eastAsia="仿宋_GB2312" w:hAnsi="仿宋" w:hint="eastAsia"/>
          <w:sz w:val="24"/>
          <w:szCs w:val="24"/>
        </w:rPr>
        <w:t>3个</w:t>
      </w:r>
      <w:r w:rsidRPr="003666EA">
        <w:rPr>
          <w:rFonts w:ascii="仿宋_GB2312" w:eastAsia="仿宋_GB2312" w:hAnsi="仿宋" w:hint="eastAsia"/>
          <w:sz w:val="24"/>
          <w:szCs w:val="24"/>
        </w:rPr>
        <w:t>a至12位</w:t>
      </w:r>
      <w:r w:rsidR="000544CB" w:rsidRPr="003666EA">
        <w:rPr>
          <w:rFonts w:ascii="仿宋_GB2312" w:eastAsia="仿宋_GB2312" w:hAnsi="仿宋" w:hint="eastAsia"/>
          <w:sz w:val="24"/>
          <w:szCs w:val="24"/>
        </w:rPr>
        <w:t>。</w:t>
      </w:r>
    </w:p>
    <w:p w:rsidR="00B81142" w:rsidRDefault="000544CB" w:rsidP="003666EA">
      <w:pPr>
        <w:spacing w:line="360" w:lineRule="auto"/>
        <w:ind w:firstLineChars="200" w:firstLine="480"/>
        <w:rPr>
          <w:rFonts w:ascii="仿宋_GB2312" w:eastAsia="仿宋_GB2312" w:hAnsi="仿宋"/>
          <w:sz w:val="24"/>
          <w:szCs w:val="24"/>
        </w:rPr>
      </w:pPr>
      <w:r w:rsidRPr="003666EA">
        <w:rPr>
          <w:rFonts w:ascii="仿宋_GB2312" w:eastAsia="仿宋_GB2312" w:hAnsi="仿宋" w:hint="eastAsia"/>
          <w:sz w:val="24"/>
          <w:szCs w:val="24"/>
        </w:rPr>
        <w:t>除A01-1、A01-2、A02-1、A02-2、A02-3、D05-1、D06-1的报表代码为5为外，其他</w:t>
      </w:r>
      <w:r w:rsidR="0080064F" w:rsidRPr="003666EA">
        <w:rPr>
          <w:rFonts w:ascii="仿宋_GB2312" w:eastAsia="仿宋_GB2312" w:hAnsi="仿宋" w:hint="eastAsia"/>
          <w:sz w:val="24"/>
          <w:szCs w:val="24"/>
        </w:rPr>
        <w:t>报表代码</w:t>
      </w:r>
      <w:r w:rsidRPr="003666EA">
        <w:rPr>
          <w:rFonts w:ascii="仿宋_GB2312" w:eastAsia="仿宋_GB2312" w:hAnsi="仿宋" w:hint="eastAsia"/>
          <w:sz w:val="24"/>
          <w:szCs w:val="24"/>
        </w:rPr>
        <w:t>一般为3位</w:t>
      </w:r>
      <w:r w:rsidR="0080064F" w:rsidRPr="003666EA">
        <w:rPr>
          <w:rFonts w:ascii="仿宋_GB2312" w:eastAsia="仿宋_GB2312" w:hAnsi="仿宋" w:hint="eastAsia"/>
          <w:sz w:val="24"/>
          <w:szCs w:val="24"/>
        </w:rPr>
        <w:t>，</w:t>
      </w:r>
      <w:r w:rsidRPr="003666EA">
        <w:rPr>
          <w:rFonts w:ascii="仿宋_GB2312" w:eastAsia="仿宋_GB2312" w:hAnsi="仿宋" w:hint="eastAsia"/>
          <w:sz w:val="24"/>
          <w:szCs w:val="24"/>
        </w:rPr>
        <w:t>因此应在</w:t>
      </w:r>
      <w:r w:rsidR="00AE51E3" w:rsidRPr="003666EA">
        <w:rPr>
          <w:rFonts w:ascii="仿宋_GB2312" w:eastAsia="仿宋_GB2312" w:hAnsi="仿宋" w:hint="eastAsia"/>
          <w:sz w:val="24"/>
          <w:szCs w:val="24"/>
        </w:rPr>
        <w:t>报表</w:t>
      </w:r>
      <w:r w:rsidR="0080064F" w:rsidRPr="003666EA">
        <w:rPr>
          <w:rFonts w:ascii="仿宋_GB2312" w:eastAsia="仿宋_GB2312" w:hAnsi="仿宋" w:hint="eastAsia"/>
          <w:sz w:val="24"/>
          <w:szCs w:val="24"/>
        </w:rPr>
        <w:t>代码后补</w:t>
      </w:r>
      <w:r w:rsidRPr="003666EA">
        <w:rPr>
          <w:rFonts w:ascii="仿宋_GB2312" w:eastAsia="仿宋_GB2312" w:hAnsi="仿宋" w:hint="eastAsia"/>
          <w:sz w:val="24"/>
          <w:szCs w:val="24"/>
        </w:rPr>
        <w:t>2个</w:t>
      </w:r>
      <w:r w:rsidR="0080064F" w:rsidRPr="003666EA">
        <w:rPr>
          <w:rFonts w:ascii="仿宋_GB2312" w:eastAsia="仿宋_GB2312" w:hAnsi="仿宋" w:hint="eastAsia"/>
          <w:sz w:val="24"/>
          <w:szCs w:val="24"/>
        </w:rPr>
        <w:t>a至5位。</w:t>
      </w:r>
    </w:p>
    <w:p w:rsidR="0051647D" w:rsidRDefault="0051647D" w:rsidP="0051647D">
      <w:pPr>
        <w:widowControl/>
        <w:rPr>
          <w:rFonts w:ascii="仿宋_GB2312" w:eastAsia="仿宋_GB2312" w:hAnsi="仿宋"/>
          <w:sz w:val="24"/>
          <w:szCs w:val="24"/>
        </w:rPr>
      </w:pPr>
    </w:p>
    <w:p w:rsidR="007037CE" w:rsidRPr="007037CE" w:rsidRDefault="007037CE" w:rsidP="007037CE">
      <w:pPr>
        <w:pStyle w:val="a7"/>
        <w:spacing w:line="360" w:lineRule="auto"/>
        <w:rPr>
          <w:rFonts w:ascii="Times New Roman" w:eastAsia="仿宋_GB2312" w:hAnsi="Times New Roman" w:cs="Times New Roman"/>
          <w:color w:val="000000"/>
          <w:kern w:val="2"/>
        </w:rPr>
      </w:pPr>
      <w:r w:rsidRPr="007037CE">
        <w:rPr>
          <w:rFonts w:asciiTheme="minorEastAsia" w:eastAsiaTheme="minorEastAsia" w:hAnsiTheme="minorEastAsia" w:cstheme="minorBidi"/>
          <w:b/>
          <w:kern w:val="2"/>
        </w:rPr>
        <w:t>问题：《接口规范》中“数据接口报送原则（3.3.1）”较《国家外汇管理局关于做好调整境内银行涉外收付凭证及相关信息报送准备工作的通知》（汇发【2011】49号）中“数据接口原则（2.3）”的内容有所减少，减少的这部分规</w:t>
      </w:r>
      <w:r w:rsidRPr="007037CE">
        <w:rPr>
          <w:rFonts w:asciiTheme="minorEastAsia" w:eastAsiaTheme="minorEastAsia" w:hAnsiTheme="minorEastAsia" w:cstheme="minorBidi"/>
          <w:b/>
          <w:kern w:val="2"/>
        </w:rPr>
        <w:lastRenderedPageBreak/>
        <w:t>则是否适用？</w:t>
      </w:r>
      <w:r w:rsidRPr="007037CE">
        <w:rPr>
          <w:rFonts w:asciiTheme="minorEastAsia" w:eastAsiaTheme="minorEastAsia" w:hAnsiTheme="minorEastAsia" w:cstheme="minorBidi"/>
          <w:b/>
          <w:kern w:val="2"/>
        </w:rPr>
        <w:br/>
      </w:r>
      <w:r w:rsidRPr="007037CE">
        <w:rPr>
          <w:rFonts w:ascii="仿宋" w:eastAsia="仿宋" w:hAnsi="仿宋" w:cstheme="minorBidi"/>
          <w:b/>
          <w:kern w:val="2"/>
        </w:rPr>
        <w:t>答：</w:t>
      </w:r>
      <w:r w:rsidRPr="007037CE">
        <w:rPr>
          <w:rFonts w:ascii="Times New Roman" w:eastAsia="仿宋_GB2312" w:hAnsi="Times New Roman" w:cs="Times New Roman"/>
          <w:color w:val="000000"/>
          <w:kern w:val="2"/>
        </w:rPr>
        <w:t>是，下列数据接口原则继续适用：</w:t>
      </w:r>
    </w:p>
    <w:p w:rsidR="007037CE" w:rsidRDefault="007037CE" w:rsidP="007037CE">
      <w:pPr>
        <w:pStyle w:val="ab"/>
        <w:tabs>
          <w:tab w:val="num" w:pos="420"/>
        </w:tabs>
        <w:spacing w:after="0" w:line="360" w:lineRule="auto"/>
        <w:ind w:hanging="420"/>
        <w:rPr>
          <w:rFonts w:ascii="Verdana" w:hAnsi="Verdana"/>
          <w:color w:val="000000"/>
        </w:rPr>
      </w:pPr>
      <w:r>
        <w:rPr>
          <w:rFonts w:hint="eastAsia"/>
          <w:color w:val="000000"/>
        </w:rPr>
        <w:t>-</w:t>
      </w:r>
      <w:r>
        <w:rPr>
          <w:color w:val="000000"/>
          <w:sz w:val="14"/>
          <w:szCs w:val="14"/>
        </w:rPr>
        <w:t xml:space="preserve">    </w:t>
      </w:r>
      <w:r>
        <w:rPr>
          <w:rFonts w:hint="eastAsia"/>
          <w:color w:val="000000"/>
        </w:rPr>
        <w:t>接口数据应符合各类数据的校验规则。申报号码允许跳号，不允许重号，也不允许已删除的申报单号码再次使用。所有金额都只保留到个位，小数部分四舍五入。在涉外收入申报单—基础信息中，要求结汇金额、现汇金额、其它金额之和不能大于收入款金额。如果因为四舍五入原因无法满足该校验要求，应以收入款金额为准，调整结汇金额、现汇金额或其它金额中的一项。对支出来说，应以付款金额为准，调整购汇金额、现汇金额或其它金额中的一项。</w:t>
      </w:r>
      <w:r>
        <w:rPr>
          <w:rFonts w:ascii="Verdana" w:hAnsi="Verdana"/>
          <w:color w:val="000000"/>
        </w:rPr>
        <w:t xml:space="preserve"> </w:t>
      </w:r>
    </w:p>
    <w:p w:rsidR="007037CE" w:rsidRDefault="007037CE" w:rsidP="007037CE">
      <w:pPr>
        <w:pStyle w:val="ab"/>
        <w:tabs>
          <w:tab w:val="num" w:pos="420"/>
        </w:tabs>
        <w:spacing w:after="0" w:line="360" w:lineRule="auto"/>
        <w:ind w:hanging="420"/>
        <w:rPr>
          <w:rFonts w:ascii="Verdana" w:hAnsi="Verdana"/>
          <w:color w:val="000000"/>
        </w:rPr>
      </w:pPr>
      <w:r>
        <w:rPr>
          <w:rFonts w:hint="eastAsia"/>
          <w:color w:val="000000"/>
        </w:rPr>
        <w:t>-</w:t>
      </w:r>
      <w:r>
        <w:rPr>
          <w:color w:val="000000"/>
          <w:sz w:val="14"/>
          <w:szCs w:val="14"/>
        </w:rPr>
        <w:t xml:space="preserve">    </w:t>
      </w:r>
      <w:r>
        <w:rPr>
          <w:rFonts w:hint="eastAsia"/>
          <w:color w:val="000000"/>
        </w:rPr>
        <w:t>基础信息中组织机构代码、个人身份证件号码、币种、金额修改，该笔申报信息</w:t>
      </w:r>
      <w:r>
        <w:rPr>
          <w:rFonts w:hint="eastAsia"/>
          <w:color w:val="000000"/>
        </w:rPr>
        <w:t>/</w:t>
      </w:r>
      <w:r>
        <w:rPr>
          <w:rFonts w:hint="eastAsia"/>
          <w:color w:val="000000"/>
        </w:rPr>
        <w:t>管理信息将重新申报。如果基础信息中组织机构代码、个人身份证件号码发生改变或者申报主体的对公、对私属性改变，银行应先将原基础信息删除，并说明删除原因，然后按新的申报号码重新生成基础信息并进行申报。若只是币种、金额修改，则可以先将原基础信息删除，并说明删除原因，然后按新的申报号码重新生成基础信息并进行申报</w:t>
      </w:r>
      <w:r>
        <w:rPr>
          <w:rFonts w:hint="eastAsia"/>
          <w:color w:val="000000"/>
        </w:rPr>
        <w:t>,</w:t>
      </w:r>
      <w:r>
        <w:rPr>
          <w:rFonts w:hint="eastAsia"/>
          <w:color w:val="000000"/>
        </w:rPr>
        <w:t>也可以在原基础信息基础上对申报信息</w:t>
      </w:r>
      <w:r>
        <w:rPr>
          <w:rFonts w:hint="eastAsia"/>
          <w:color w:val="000000"/>
        </w:rPr>
        <w:t>/</w:t>
      </w:r>
      <w:r>
        <w:rPr>
          <w:rFonts w:hint="eastAsia"/>
          <w:color w:val="000000"/>
        </w:rPr>
        <w:t>管理信息重新申报。</w:t>
      </w:r>
      <w:r>
        <w:rPr>
          <w:rFonts w:ascii="Verdana" w:hAnsi="Verdana"/>
          <w:color w:val="000000"/>
        </w:rPr>
        <w:t xml:space="preserve"> </w:t>
      </w:r>
    </w:p>
    <w:p w:rsidR="007037CE" w:rsidRDefault="007037CE" w:rsidP="007037CE">
      <w:pPr>
        <w:pStyle w:val="ab"/>
        <w:tabs>
          <w:tab w:val="num" w:pos="420"/>
        </w:tabs>
        <w:spacing w:after="0" w:line="360" w:lineRule="auto"/>
        <w:ind w:hanging="420"/>
        <w:rPr>
          <w:rFonts w:ascii="Verdana" w:hAnsi="Verdana"/>
          <w:sz w:val="18"/>
          <w:szCs w:val="18"/>
        </w:rPr>
      </w:pPr>
      <w:r>
        <w:rPr>
          <w:rFonts w:hint="eastAsia"/>
          <w:color w:val="000000"/>
        </w:rPr>
        <w:t>-</w:t>
      </w:r>
      <w:r>
        <w:rPr>
          <w:color w:val="000000"/>
          <w:sz w:val="14"/>
          <w:szCs w:val="14"/>
        </w:rPr>
        <w:t xml:space="preserve">    </w:t>
      </w:r>
      <w:r>
        <w:rPr>
          <w:rFonts w:hint="eastAsia"/>
          <w:color w:val="000000"/>
        </w:rPr>
        <w:t>如果企业的单位基本情况表中无某网点的开户信息，则企业在该网点的申报信息将无法导入。</w:t>
      </w:r>
      <w:r>
        <w:rPr>
          <w:rFonts w:ascii="Verdana" w:hAnsi="Verdana"/>
          <w:color w:val="000000"/>
          <w:sz w:val="18"/>
          <w:szCs w:val="18"/>
        </w:rPr>
        <w:t xml:space="preserve"> </w:t>
      </w:r>
    </w:p>
    <w:p w:rsidR="007037CE" w:rsidRDefault="007037CE">
      <w:pPr>
        <w:widowControl/>
        <w:jc w:val="left"/>
        <w:rPr>
          <w:rFonts w:ascii="仿宋_GB2312" w:eastAsia="仿宋_GB2312" w:hAnsi="仿宋"/>
          <w:sz w:val="24"/>
          <w:szCs w:val="24"/>
        </w:rPr>
      </w:pPr>
      <w:r>
        <w:rPr>
          <w:rFonts w:ascii="仿宋_GB2312" w:eastAsia="仿宋_GB2312" w:hAnsi="仿宋"/>
          <w:sz w:val="24"/>
          <w:szCs w:val="24"/>
        </w:rPr>
        <w:br w:type="page"/>
      </w:r>
    </w:p>
    <w:p w:rsidR="0051647D" w:rsidRDefault="0051647D" w:rsidP="0051647D">
      <w:pPr>
        <w:widowControl/>
        <w:rPr>
          <w:rFonts w:ascii="仿宋_GB2312" w:eastAsia="仿宋_GB2312" w:hAnsi="仿宋"/>
          <w:sz w:val="24"/>
          <w:szCs w:val="24"/>
        </w:rPr>
      </w:pPr>
    </w:p>
    <w:p w:rsidR="0080064F" w:rsidRDefault="00B81142" w:rsidP="00B81142">
      <w:pPr>
        <w:spacing w:line="360" w:lineRule="auto"/>
        <w:rPr>
          <w:rFonts w:asciiTheme="minorEastAsia" w:hAnsiTheme="minorEastAsia"/>
          <w:b/>
          <w:sz w:val="24"/>
          <w:szCs w:val="24"/>
        </w:rPr>
      </w:pPr>
      <w:r>
        <w:rPr>
          <w:rFonts w:ascii="仿宋" w:eastAsia="仿宋" w:hAnsi="仿宋" w:hint="eastAsia"/>
          <w:sz w:val="24"/>
          <w:szCs w:val="24"/>
        </w:rPr>
        <w:t>附件1：</w:t>
      </w:r>
      <w:r w:rsidRPr="003666EA">
        <w:rPr>
          <w:rFonts w:asciiTheme="minorEastAsia" w:hAnsiTheme="minorEastAsia" w:hint="eastAsia"/>
          <w:b/>
          <w:sz w:val="24"/>
          <w:szCs w:val="24"/>
        </w:rPr>
        <w:t>《对外金融资产负债及交易统计制度》</w:t>
      </w:r>
      <w:r w:rsidR="00912FAD">
        <w:rPr>
          <w:rFonts w:asciiTheme="minorEastAsia" w:hAnsiTheme="minorEastAsia" w:hint="eastAsia"/>
          <w:b/>
          <w:sz w:val="24"/>
          <w:szCs w:val="24"/>
        </w:rPr>
        <w:t>对</w:t>
      </w:r>
      <w:r w:rsidRPr="003666EA">
        <w:rPr>
          <w:rFonts w:asciiTheme="minorEastAsia" w:hAnsiTheme="minorEastAsia" w:hint="eastAsia"/>
          <w:b/>
          <w:sz w:val="24"/>
          <w:szCs w:val="24"/>
        </w:rPr>
        <w:t>金融机构</w:t>
      </w:r>
      <w:r w:rsidR="00912FAD">
        <w:rPr>
          <w:rFonts w:asciiTheme="minorEastAsia" w:hAnsiTheme="minorEastAsia" w:hint="eastAsia"/>
          <w:b/>
          <w:sz w:val="24"/>
          <w:szCs w:val="24"/>
        </w:rPr>
        <w:t>的</w:t>
      </w:r>
      <w:r>
        <w:rPr>
          <w:rFonts w:asciiTheme="minorEastAsia" w:hAnsiTheme="minorEastAsia" w:hint="eastAsia"/>
          <w:b/>
          <w:sz w:val="24"/>
          <w:szCs w:val="24"/>
        </w:rPr>
        <w:t>划分</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09"/>
        <w:gridCol w:w="1276"/>
        <w:gridCol w:w="5720"/>
      </w:tblGrid>
      <w:tr w:rsidR="00912FAD" w:rsidRPr="00507D36" w:rsidTr="00736F34">
        <w:trPr>
          <w:trHeight w:val="1092"/>
        </w:trPr>
        <w:tc>
          <w:tcPr>
            <w:tcW w:w="720" w:type="dxa"/>
            <w:shd w:val="clear" w:color="auto" w:fill="auto"/>
            <w:vAlign w:val="center"/>
            <w:hideMark/>
          </w:tcPr>
          <w:p w:rsidR="00912FAD" w:rsidRPr="00507D36" w:rsidRDefault="00912FAD" w:rsidP="000033FD">
            <w:pPr>
              <w:widowControl/>
              <w:adjustRightInd w:val="0"/>
              <w:snapToGrid w:val="0"/>
              <w:spacing w:beforeLines="20" w:afterLines="20"/>
              <w:jc w:val="center"/>
              <w:rPr>
                <w:rFonts w:ascii="黑体" w:eastAsia="黑体" w:hAnsi="黑体" w:cs="宋体"/>
                <w:kern w:val="0"/>
                <w:sz w:val="20"/>
                <w:szCs w:val="20"/>
              </w:rPr>
            </w:pPr>
            <w:r w:rsidRPr="00507D36">
              <w:rPr>
                <w:rFonts w:ascii="黑体" w:eastAsia="黑体" w:hAnsi="黑体" w:cs="宋体" w:hint="eastAsia"/>
                <w:kern w:val="0"/>
                <w:sz w:val="20"/>
                <w:szCs w:val="20"/>
              </w:rPr>
              <w:t>金融业代码</w:t>
            </w: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黑体" w:cs="宋体"/>
                <w:kern w:val="0"/>
                <w:sz w:val="20"/>
                <w:szCs w:val="20"/>
              </w:rPr>
            </w:pPr>
            <w:r w:rsidRPr="00507D36">
              <w:rPr>
                <w:rFonts w:ascii="黑体" w:eastAsia="黑体" w:hAnsi="黑体" w:cs="宋体" w:hint="eastAsia"/>
                <w:kern w:val="0"/>
                <w:sz w:val="20"/>
                <w:szCs w:val="20"/>
              </w:rPr>
              <w:t>金融业子类代码</w:t>
            </w:r>
          </w:p>
        </w:tc>
        <w:tc>
          <w:tcPr>
            <w:tcW w:w="1276"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黑体" w:cs="宋体"/>
                <w:kern w:val="0"/>
                <w:sz w:val="20"/>
                <w:szCs w:val="20"/>
              </w:rPr>
            </w:pPr>
            <w:r w:rsidRPr="00507D36">
              <w:rPr>
                <w:rFonts w:ascii="黑体" w:eastAsia="黑体" w:hAnsi="黑体" w:cs="宋体" w:hint="eastAsia"/>
                <w:kern w:val="0"/>
                <w:sz w:val="20"/>
                <w:szCs w:val="20"/>
              </w:rPr>
              <w:t>金融业子类名称</w:t>
            </w:r>
          </w:p>
        </w:tc>
        <w:tc>
          <w:tcPr>
            <w:tcW w:w="5720" w:type="dxa"/>
            <w:shd w:val="clear" w:color="auto" w:fill="auto"/>
            <w:noWrap/>
            <w:vAlign w:val="center"/>
            <w:hideMark/>
          </w:tcPr>
          <w:p w:rsidR="00B46363"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1066～1069大类</w:t>
            </w:r>
            <w:r w:rsidRPr="00507D36">
              <w:rPr>
                <w:rFonts w:ascii="黑体" w:eastAsia="黑体" w:hAnsi="黑体" w:cs="宋体" w:hint="eastAsia"/>
                <w:kern w:val="0"/>
                <w:sz w:val="20"/>
                <w:szCs w:val="20"/>
              </w:rPr>
              <w:t>。</w:t>
            </w:r>
          </w:p>
        </w:tc>
      </w:tr>
      <w:tr w:rsidR="00912FAD" w:rsidRPr="00507D36" w:rsidTr="00736F34">
        <w:trPr>
          <w:trHeight w:val="768"/>
        </w:trPr>
        <w:tc>
          <w:tcPr>
            <w:tcW w:w="720" w:type="dxa"/>
            <w:vMerge w:val="restart"/>
            <w:shd w:val="clear" w:color="auto" w:fill="auto"/>
            <w:vAlign w:val="center"/>
            <w:hideMark/>
          </w:tcPr>
          <w:p w:rsidR="00912FAD" w:rsidRPr="00507D36"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1066</w:t>
            </w: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宋体"/>
                <w:kern w:val="0"/>
                <w:sz w:val="20"/>
                <w:szCs w:val="20"/>
              </w:rPr>
            </w:pPr>
            <w:r w:rsidRPr="00507D36">
              <w:rPr>
                <w:rFonts w:ascii="黑体" w:eastAsia="黑体" w:hAnsi="宋体" w:cs="宋体" w:hint="eastAsia"/>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货币金融服务</w:t>
            </w:r>
          </w:p>
        </w:tc>
        <w:tc>
          <w:tcPr>
            <w:tcW w:w="5720" w:type="dxa"/>
            <w:shd w:val="clear" w:color="auto" w:fill="auto"/>
            <w:noWrap/>
            <w:vAlign w:val="center"/>
            <w:hideMark/>
          </w:tcPr>
          <w:p w:rsidR="00B46363"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6610-6640子类</w:t>
            </w:r>
            <w:r w:rsidRPr="00507D36">
              <w:rPr>
                <w:rFonts w:ascii="黑体" w:eastAsia="黑体" w:hAnsi="黑体" w:cs="宋体" w:hint="eastAsia"/>
                <w:kern w:val="0"/>
                <w:sz w:val="20"/>
                <w:szCs w:val="20"/>
              </w:rPr>
              <w:t>。</w:t>
            </w:r>
          </w:p>
        </w:tc>
      </w:tr>
      <w:tr w:rsidR="00912FAD" w:rsidRPr="00507D36" w:rsidTr="00736F34">
        <w:trPr>
          <w:trHeight w:val="708"/>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6610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中央银行服务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指代表政府管理金融活动，并制定和执行货币政策，维护金融稳定，管理金融市场的特殊金融机构的活动。</w:t>
            </w:r>
          </w:p>
        </w:tc>
      </w:tr>
      <w:tr w:rsidR="00912FAD" w:rsidRPr="00507D36" w:rsidTr="00736F34">
        <w:trPr>
          <w:trHeight w:val="832"/>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6620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货币银行服务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指除中央银行以外的各类银行所从事存款、贷款和信用卡等货币媒介活动，还包括在中国开展货币业务的外资银行及分支机构的活动。</w:t>
            </w:r>
          </w:p>
        </w:tc>
      </w:tr>
      <w:tr w:rsidR="00912FAD" w:rsidRPr="00507D36" w:rsidTr="00736F34">
        <w:trPr>
          <w:trHeight w:val="775"/>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非货币银行服务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指主要与非货币媒介机构以各种方式发放贷款有关的金融服务。包括</w:t>
            </w:r>
            <w:r w:rsidRPr="00507D36">
              <w:rPr>
                <w:rFonts w:ascii="黑体" w:eastAsia="黑体" w:hAnsi="黑体" w:cs="宋体"/>
                <w:kern w:val="0"/>
                <w:sz w:val="20"/>
                <w:szCs w:val="20"/>
              </w:rPr>
              <w:t>6631-6639子类。</w:t>
            </w:r>
          </w:p>
        </w:tc>
      </w:tr>
      <w:tr w:rsidR="00912FAD" w:rsidRPr="00507D36" w:rsidTr="00736F34">
        <w:trPr>
          <w:trHeight w:val="858"/>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6631</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金融租赁服务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指经中国人民银行批准以经营融资租赁业务为主的非银行金融机构的活动。</w:t>
            </w:r>
          </w:p>
        </w:tc>
      </w:tr>
      <w:tr w:rsidR="00912FAD" w:rsidRPr="00507D36" w:rsidTr="00736F34">
        <w:trPr>
          <w:trHeight w:val="671"/>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6632</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财务公司</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指经中国人民银行批准，为企业融资提供的金融活动。</w:t>
            </w:r>
          </w:p>
        </w:tc>
      </w:tr>
      <w:tr w:rsidR="00912FAD" w:rsidRPr="00507D36" w:rsidTr="00736F34">
        <w:trPr>
          <w:trHeight w:val="708"/>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6633</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典当</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指以实物、财产权利质押或抵押的放款活动。</w:t>
            </w:r>
          </w:p>
        </w:tc>
      </w:tr>
      <w:tr w:rsidR="00912FAD" w:rsidRPr="00507D36" w:rsidTr="00736F34">
        <w:trPr>
          <w:trHeight w:val="832"/>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6639</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其他非货币银行服务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指上述未包括的从事融资、抵押等非货币银行的服务，包括小额贷款公司、农村合作基金会等融资活动，以及各种消费信贷、国际贸易融资、公积金房屋信贷、抵押顾问和经纪人的活动。</w:t>
            </w:r>
          </w:p>
        </w:tc>
      </w:tr>
      <w:tr w:rsidR="00912FAD" w:rsidRPr="00507D36" w:rsidTr="00736F34">
        <w:trPr>
          <w:trHeight w:val="633"/>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6640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银行监管服务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指代表政府管理银行业活动，制定并发布对银行业金融机构及其业务活动监督管理的规章、规则。</w:t>
            </w:r>
          </w:p>
        </w:tc>
      </w:tr>
      <w:tr w:rsidR="00912FAD" w:rsidRPr="00507D36" w:rsidTr="00736F34">
        <w:trPr>
          <w:trHeight w:val="684"/>
        </w:trPr>
        <w:tc>
          <w:tcPr>
            <w:tcW w:w="720" w:type="dxa"/>
            <w:vMerge w:val="restart"/>
            <w:shd w:val="clear" w:color="auto" w:fill="auto"/>
            <w:vAlign w:val="center"/>
            <w:hideMark/>
          </w:tcPr>
          <w:p w:rsidR="00912FAD" w:rsidRPr="00507D36"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1067</w:t>
            </w: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资本市场服务</w:t>
            </w:r>
          </w:p>
        </w:tc>
        <w:tc>
          <w:tcPr>
            <w:tcW w:w="5720" w:type="dxa"/>
            <w:shd w:val="clear" w:color="auto" w:fill="auto"/>
            <w:noWrap/>
            <w:vAlign w:val="center"/>
            <w:hideMark/>
          </w:tcPr>
          <w:p w:rsidR="00B46363"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6711-6790子类</w:t>
            </w:r>
            <w:r w:rsidRPr="00507D36">
              <w:rPr>
                <w:rFonts w:ascii="黑体" w:eastAsia="黑体" w:hAnsi="黑体" w:cs="宋体" w:hint="eastAsia"/>
                <w:kern w:val="0"/>
                <w:sz w:val="20"/>
                <w:szCs w:val="20"/>
              </w:rPr>
              <w:t>。</w:t>
            </w:r>
          </w:p>
        </w:tc>
      </w:tr>
      <w:tr w:rsidR="00912FAD" w:rsidRPr="00507D36" w:rsidTr="00736F34">
        <w:trPr>
          <w:trHeight w:val="56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证券市场服务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jc w:val="left"/>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6711-6713子类。</w:t>
            </w:r>
          </w:p>
        </w:tc>
      </w:tr>
      <w:tr w:rsidR="00912FAD" w:rsidRPr="00507D36" w:rsidTr="00736F34">
        <w:trPr>
          <w:trHeight w:val="902"/>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kern w:val="0"/>
                <w:sz w:val="20"/>
                <w:szCs w:val="20"/>
              </w:rPr>
            </w:pPr>
          </w:p>
        </w:tc>
        <w:tc>
          <w:tcPr>
            <w:tcW w:w="709" w:type="dxa"/>
            <w:shd w:val="clear" w:color="auto" w:fill="auto"/>
            <w:noWrap/>
            <w:vAlign w:val="center"/>
            <w:hideMark/>
          </w:tcPr>
          <w:p w:rsidR="00400CB5"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6711</w:t>
            </w:r>
          </w:p>
        </w:tc>
        <w:tc>
          <w:tcPr>
            <w:tcW w:w="1276"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证券市场管理服务</w:t>
            </w:r>
          </w:p>
        </w:tc>
        <w:tc>
          <w:tcPr>
            <w:tcW w:w="5720"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指非政府机关进行的证券市场经营和监管，包括证券交易所、登记结算机构的活动。</w:t>
            </w:r>
          </w:p>
        </w:tc>
      </w:tr>
      <w:tr w:rsidR="00912FAD" w:rsidRPr="00507D36" w:rsidTr="00736F34">
        <w:trPr>
          <w:trHeight w:val="561"/>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6712</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证券经纪交易服务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指在金融市场上代他人进行交易、代理发行证券和其他有关活动，包括证券经纪、证券承销与保荐、融资融券业务、客户资产管理业务等活动。</w:t>
            </w:r>
          </w:p>
        </w:tc>
      </w:tr>
      <w:tr w:rsidR="00912FAD" w:rsidRPr="00507D36" w:rsidTr="00736F34">
        <w:trPr>
          <w:trHeight w:val="927"/>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6713</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基金管理服务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指在收费或合同基础上为个人、企业及其他客户进行的资产组合和基金管理活动，包括证券投资基金、企业年金、社保基金、专户理财、国内资本境外投资管理（</w:t>
            </w:r>
            <w:r w:rsidRPr="00507D36">
              <w:rPr>
                <w:rFonts w:ascii="黑体" w:eastAsia="黑体" w:hAnsi="黑体" w:cs="宋体"/>
                <w:kern w:val="0"/>
                <w:sz w:val="20"/>
                <w:szCs w:val="20"/>
              </w:rPr>
              <w:t>QDII）等活动。</w:t>
            </w:r>
          </w:p>
        </w:tc>
      </w:tr>
      <w:tr w:rsidR="00912FAD" w:rsidRPr="00507D36" w:rsidTr="00736F34">
        <w:trPr>
          <w:trHeight w:val="699"/>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期货市场服务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6721-6729子类。</w:t>
            </w:r>
          </w:p>
        </w:tc>
      </w:tr>
      <w:tr w:rsidR="00912FAD" w:rsidRPr="00507D36" w:rsidTr="00736F34">
        <w:trPr>
          <w:trHeight w:val="557"/>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6721</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期货市场管理服务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指非政府机关进行的期货市场经营和监管，包括商品期货交易所、金融期货交易所、期货保证金监控中心的活动。</w:t>
            </w:r>
          </w:p>
        </w:tc>
      </w:tr>
      <w:tr w:rsidR="00912FAD" w:rsidRPr="00507D36" w:rsidTr="00736F34">
        <w:trPr>
          <w:trHeight w:val="765"/>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6729</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其他期货市场服务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指商品合约经纪及其他未列明的期货市场的服务。</w:t>
            </w:r>
          </w:p>
        </w:tc>
      </w:tr>
      <w:tr w:rsidR="00912FAD" w:rsidRPr="00507D36" w:rsidTr="00736F34">
        <w:trPr>
          <w:trHeight w:val="705"/>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6730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证券期货监管服务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指由政府或行业自律组织进行的对证券期货市场的监管活动。</w:t>
            </w:r>
          </w:p>
        </w:tc>
      </w:tr>
      <w:tr w:rsidR="00912FAD" w:rsidRPr="00507D36" w:rsidTr="00736F34">
        <w:trPr>
          <w:trHeight w:val="68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6740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资本投资服务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指经批准的证券投资机构的自营投资、直接投资活动，以及风险投资和其他投资活动。</w:t>
            </w:r>
          </w:p>
        </w:tc>
      </w:tr>
      <w:tr w:rsidR="00912FAD" w:rsidRPr="00507D36" w:rsidTr="00736F34">
        <w:trPr>
          <w:trHeight w:val="710"/>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6790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其他资本市场服务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指投资咨询服务、财务咨询服务、资信评级服务，以及其他未列明的资本市场的服务。</w:t>
            </w:r>
          </w:p>
        </w:tc>
      </w:tr>
      <w:tr w:rsidR="00912FAD" w:rsidRPr="00507D36" w:rsidTr="00736F34">
        <w:trPr>
          <w:trHeight w:val="834"/>
        </w:trPr>
        <w:tc>
          <w:tcPr>
            <w:tcW w:w="720" w:type="dxa"/>
            <w:vMerge w:val="restart"/>
            <w:shd w:val="clear" w:color="auto" w:fill="auto"/>
            <w:vAlign w:val="center"/>
            <w:hideMark/>
          </w:tcPr>
          <w:p w:rsidR="00912FAD" w:rsidRPr="00507D36"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1068</w:t>
            </w: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保险业</w:t>
            </w:r>
          </w:p>
        </w:tc>
        <w:tc>
          <w:tcPr>
            <w:tcW w:w="5720" w:type="dxa"/>
            <w:shd w:val="clear" w:color="auto" w:fill="auto"/>
            <w:noWrap/>
            <w:vAlign w:val="center"/>
            <w:hideMark/>
          </w:tcPr>
          <w:p w:rsidR="00B46363"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6811-6899子类</w:t>
            </w:r>
            <w:r w:rsidRPr="00507D36">
              <w:rPr>
                <w:rFonts w:ascii="黑体" w:eastAsia="黑体" w:hAnsi="黑体" w:cs="宋体" w:hint="eastAsia"/>
                <w:kern w:val="0"/>
                <w:sz w:val="20"/>
                <w:szCs w:val="20"/>
              </w:rPr>
              <w:t>。</w:t>
            </w:r>
          </w:p>
        </w:tc>
      </w:tr>
      <w:tr w:rsidR="00912FAD" w:rsidRPr="00507D36" w:rsidTr="00736F34">
        <w:trPr>
          <w:trHeight w:val="84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人身保险</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指以人的寿命和身体为保险标的的保险活动，包括人寿保险、健康保险和意外伤害保险。包括</w:t>
            </w:r>
            <w:r w:rsidRPr="00507D36">
              <w:rPr>
                <w:rFonts w:ascii="黑体" w:eastAsia="黑体" w:hAnsi="黑体" w:cs="宋体"/>
                <w:kern w:val="0"/>
                <w:sz w:val="20"/>
                <w:szCs w:val="20"/>
              </w:rPr>
              <w:t>6811-6812子类。</w:t>
            </w:r>
          </w:p>
        </w:tc>
      </w:tr>
      <w:tr w:rsidR="00912FAD" w:rsidRPr="00507D36" w:rsidTr="00736F34">
        <w:trPr>
          <w:trHeight w:val="844"/>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400CB5"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6811</w:t>
            </w:r>
          </w:p>
        </w:tc>
        <w:tc>
          <w:tcPr>
            <w:tcW w:w="1276"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人寿保险</w:t>
            </w:r>
          </w:p>
        </w:tc>
        <w:tc>
          <w:tcPr>
            <w:tcW w:w="5720"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指普通寿险、分红寿险、万能寿险、投资连结</w:t>
            </w:r>
            <w:r w:rsidRPr="00507D36">
              <w:rPr>
                <w:rFonts w:ascii="黑体" w:eastAsia="黑体" w:hAnsi="黑体" w:cs="宋体"/>
                <w:kern w:val="0"/>
                <w:sz w:val="20"/>
                <w:szCs w:val="20"/>
              </w:rPr>
              <w:t xml:space="preserve"> </w:t>
            </w:r>
            <w:r w:rsidRPr="00507D36">
              <w:rPr>
                <w:rFonts w:ascii="黑体" w:eastAsia="黑体" w:hAnsi="黑体" w:cs="宋体" w:hint="eastAsia"/>
                <w:kern w:val="0"/>
                <w:sz w:val="20"/>
                <w:szCs w:val="20"/>
              </w:rPr>
              <w:t>保险等活动</w:t>
            </w:r>
            <w:r w:rsidRPr="00507D36">
              <w:rPr>
                <w:rFonts w:ascii="黑体" w:eastAsia="黑体" w:hAnsi="黑体" w:cs="宋体"/>
                <w:kern w:val="0"/>
                <w:sz w:val="20"/>
                <w:szCs w:val="20"/>
              </w:rPr>
              <w:t>(不论是否带有实质性的储蓄成分)</w:t>
            </w:r>
          </w:p>
        </w:tc>
      </w:tr>
      <w:tr w:rsidR="00912FAD" w:rsidRPr="00507D36" w:rsidTr="00736F34">
        <w:trPr>
          <w:trHeight w:val="700"/>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6812</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健康和意外保险</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指疾病保险、医疗保险、失能收入损失保险、护理保险以及意外伤害保险的活动。</w:t>
            </w:r>
          </w:p>
        </w:tc>
      </w:tr>
      <w:tr w:rsidR="00912FAD" w:rsidRPr="00507D36" w:rsidTr="00736F34">
        <w:trPr>
          <w:trHeight w:val="838"/>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6820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财产保险</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指除人身保险外的保险活动，包括财产损失保险、责任保险、信用保险、保证保险等。</w:t>
            </w:r>
          </w:p>
        </w:tc>
      </w:tr>
      <w:tr w:rsidR="00912FAD" w:rsidRPr="00507D36" w:rsidTr="00736F34">
        <w:trPr>
          <w:trHeight w:val="552"/>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6830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再保险</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指承担与其他保险公司承保的现有保单相关的所有或部分风险的活动。</w:t>
            </w:r>
          </w:p>
        </w:tc>
      </w:tr>
      <w:tr w:rsidR="00912FAD" w:rsidRPr="00507D36" w:rsidTr="00736F34">
        <w:trPr>
          <w:trHeight w:val="848"/>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6840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养老金</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指专为单位雇员或成员提供退休金补贴而设立的法定实体的活动</w:t>
            </w:r>
            <w:r w:rsidRPr="00507D36">
              <w:rPr>
                <w:rFonts w:ascii="黑体" w:eastAsia="黑体" w:hAnsi="黑体" w:cs="宋体"/>
                <w:kern w:val="0"/>
                <w:sz w:val="20"/>
                <w:szCs w:val="20"/>
              </w:rPr>
              <w:t>(如基金、计划和/或项目等)，包括养老金定额补贴计划以及完全根据成员贡献确定补贴数额的个人养老金计划等。</w:t>
            </w:r>
          </w:p>
        </w:tc>
      </w:tr>
      <w:tr w:rsidR="00912FAD" w:rsidRPr="00507D36" w:rsidTr="00736F34">
        <w:trPr>
          <w:trHeight w:val="830"/>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6850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保险经纪与代理服务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指保险代理人和经纪人进行的年金、保单和分保单的销售、谈判或促合活动。</w:t>
            </w:r>
          </w:p>
        </w:tc>
      </w:tr>
      <w:tr w:rsidR="00912FAD" w:rsidRPr="00507D36" w:rsidTr="00736F34">
        <w:trPr>
          <w:trHeight w:val="700"/>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6860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保险监管服务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指根据国务院授权及相关法律、法规规定所履行的对保险市场的监督、管理活动。</w:t>
            </w:r>
          </w:p>
        </w:tc>
      </w:tr>
      <w:tr w:rsidR="00912FAD" w:rsidRPr="00507D36" w:rsidTr="00736F34">
        <w:trPr>
          <w:trHeight w:val="647"/>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400CB5"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其他保险活动</w:t>
            </w:r>
          </w:p>
        </w:tc>
        <w:tc>
          <w:tcPr>
            <w:tcW w:w="5720"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6891-6899子类。</w:t>
            </w:r>
          </w:p>
        </w:tc>
      </w:tr>
      <w:tr w:rsidR="00912FAD" w:rsidRPr="00507D36" w:rsidTr="00736F34">
        <w:trPr>
          <w:trHeight w:val="890"/>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6891</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风险和损失评估</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指保险标的或保险事故的评估、鉴定、勘验、估损或理算等活动，包括索赔处理、风险评估、风险和损失核定、海损理算和损失理算，以及保险理赔等活动。</w:t>
            </w:r>
          </w:p>
        </w:tc>
      </w:tr>
      <w:tr w:rsidR="00912FAD" w:rsidRPr="00507D36" w:rsidTr="00736F34">
        <w:trPr>
          <w:trHeight w:val="6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6899</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其他未列明保险活动</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指与保险和养老金相关或密切相关的活动</w:t>
            </w:r>
            <w:r w:rsidRPr="00507D36">
              <w:rPr>
                <w:rFonts w:ascii="黑体" w:eastAsia="黑体" w:hAnsi="黑体" w:cs="宋体"/>
                <w:kern w:val="0"/>
                <w:sz w:val="20"/>
                <w:szCs w:val="20"/>
              </w:rPr>
              <w:t xml:space="preserve">(理 </w:t>
            </w:r>
            <w:r w:rsidRPr="00507D36">
              <w:rPr>
                <w:rFonts w:ascii="黑体" w:eastAsia="黑体" w:hAnsi="黑体" w:cs="宋体" w:hint="eastAsia"/>
                <w:kern w:val="0"/>
                <w:sz w:val="20"/>
                <w:szCs w:val="20"/>
              </w:rPr>
              <w:t>赔和保险代理人、经纪人的活动除外</w:t>
            </w:r>
            <w:r w:rsidRPr="00507D36">
              <w:rPr>
                <w:rFonts w:ascii="黑体" w:eastAsia="黑体" w:hAnsi="黑体" w:cs="宋体"/>
                <w:kern w:val="0"/>
                <w:sz w:val="20"/>
                <w:szCs w:val="20"/>
              </w:rPr>
              <w:t>)，包括救助管理、保险精算等活动。</w:t>
            </w:r>
          </w:p>
        </w:tc>
      </w:tr>
      <w:tr w:rsidR="00912FAD" w:rsidRPr="00507D36" w:rsidTr="00736F34">
        <w:trPr>
          <w:trHeight w:val="1176"/>
        </w:trPr>
        <w:tc>
          <w:tcPr>
            <w:tcW w:w="720" w:type="dxa"/>
            <w:vMerge w:val="restart"/>
            <w:shd w:val="clear" w:color="auto" w:fill="auto"/>
            <w:vAlign w:val="center"/>
            <w:hideMark/>
          </w:tcPr>
          <w:p w:rsidR="00912FAD" w:rsidRPr="00507D36"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lastRenderedPageBreak/>
              <w:t>1069</w:t>
            </w: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 xml:space="preserve">　</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其他金融业</w:t>
            </w:r>
          </w:p>
        </w:tc>
        <w:tc>
          <w:tcPr>
            <w:tcW w:w="5720" w:type="dxa"/>
            <w:shd w:val="clear" w:color="auto" w:fill="auto"/>
            <w:noWrap/>
            <w:vAlign w:val="center"/>
            <w:hideMark/>
          </w:tcPr>
          <w:p w:rsidR="00B46363"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包括</w:t>
            </w:r>
            <w:r w:rsidRPr="00507D36">
              <w:rPr>
                <w:rFonts w:ascii="黑体" w:eastAsia="黑体" w:hAnsi="黑体" w:cs="宋体"/>
                <w:kern w:val="0"/>
                <w:sz w:val="20"/>
                <w:szCs w:val="20"/>
              </w:rPr>
              <w:t>6910-6990子类</w:t>
            </w:r>
            <w:r w:rsidRPr="00507D36">
              <w:rPr>
                <w:rFonts w:ascii="黑体" w:eastAsia="黑体" w:hAnsi="黑体" w:cs="宋体" w:hint="eastAsia"/>
                <w:kern w:val="0"/>
                <w:sz w:val="20"/>
                <w:szCs w:val="20"/>
              </w:rPr>
              <w:t>。</w:t>
            </w:r>
          </w:p>
        </w:tc>
      </w:tr>
      <w:tr w:rsidR="00912FAD" w:rsidRPr="00507D36" w:rsidTr="00736F34">
        <w:trPr>
          <w:trHeight w:val="11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6910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金融信托与管理服务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指根据委托书、遗嘱或代理协议代表受益人管理的信托基金、房地产账户或代理账户等活动，还包括单位投资信托管理。</w:t>
            </w:r>
          </w:p>
        </w:tc>
      </w:tr>
      <w:tr w:rsidR="00912FAD" w:rsidRPr="00507D36" w:rsidTr="00736F34">
        <w:trPr>
          <w:trHeight w:val="11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6920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控股公司服务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指通过一定比例股份，控制某个公司或多个公司的集团，控股公司仅控制股权，不直接参与经营管理，以及其他类似的活动。</w:t>
            </w:r>
          </w:p>
        </w:tc>
      </w:tr>
      <w:tr w:rsidR="00912FAD" w:rsidRPr="00507D36" w:rsidTr="00736F34">
        <w:trPr>
          <w:trHeight w:val="11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6930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非金融机构支付服务</w:t>
            </w:r>
          </w:p>
        </w:tc>
        <w:tc>
          <w:tcPr>
            <w:tcW w:w="5720" w:type="dxa"/>
            <w:shd w:val="clear" w:color="auto" w:fill="auto"/>
            <w:noWrap/>
            <w:vAlign w:val="center"/>
            <w:hideMark/>
          </w:tcPr>
          <w:p w:rsidR="00400CB5" w:rsidRDefault="00912FAD" w:rsidP="000033FD">
            <w:pPr>
              <w:widowControl/>
              <w:adjustRightInd w:val="0"/>
              <w:snapToGrid w:val="0"/>
              <w:spacing w:beforeLines="20" w:afterLines="20"/>
              <w:rPr>
                <w:rFonts w:ascii="黑体" w:eastAsia="黑体" w:hAnsi="黑体" w:cs="宋体"/>
                <w:b/>
                <w:bCs/>
                <w:kern w:val="0"/>
                <w:sz w:val="20"/>
                <w:szCs w:val="20"/>
              </w:rPr>
            </w:pPr>
            <w:r w:rsidRPr="00507D36">
              <w:rPr>
                <w:rFonts w:ascii="黑体" w:eastAsia="黑体" w:hAnsi="黑体" w:cs="宋体" w:hint="eastAsia"/>
                <w:kern w:val="0"/>
                <w:sz w:val="20"/>
                <w:szCs w:val="20"/>
              </w:rPr>
              <w:t>指非金融机构在收付款人之间作为中介机构提供下列部分或全部货币资金转移服务，包括网络支付、预付卡的发行与受理、银行卡收单及中国人民银行确定的其他支付等服务。</w:t>
            </w:r>
          </w:p>
        </w:tc>
      </w:tr>
      <w:tr w:rsidR="00912FAD" w:rsidRPr="00507D36" w:rsidTr="00736F34">
        <w:trPr>
          <w:trHeight w:val="11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6940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金融信息服务</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指向从事金融分析、金融交易、金融决策或者其他金融活动的用户提供可能影响金融市场的信息（或者金融数据）的服务。</w:t>
            </w:r>
          </w:p>
        </w:tc>
      </w:tr>
      <w:tr w:rsidR="00912FAD" w:rsidRPr="00507D36" w:rsidTr="00736F34">
        <w:trPr>
          <w:trHeight w:val="1176"/>
        </w:trPr>
        <w:tc>
          <w:tcPr>
            <w:tcW w:w="720" w:type="dxa"/>
            <w:vMerge/>
            <w:vAlign w:val="center"/>
            <w:hideMark/>
          </w:tcPr>
          <w:p w:rsidR="00400CB5" w:rsidRDefault="00400CB5" w:rsidP="000033FD">
            <w:pPr>
              <w:widowControl/>
              <w:adjustRightInd w:val="0"/>
              <w:snapToGrid w:val="0"/>
              <w:spacing w:beforeLines="20" w:afterLines="20"/>
              <w:jc w:val="left"/>
              <w:rPr>
                <w:rFonts w:ascii="黑体" w:eastAsia="黑体" w:hAnsi="宋体" w:cs="Times New Roman"/>
                <w:b/>
                <w:bCs/>
                <w:kern w:val="0"/>
                <w:sz w:val="20"/>
                <w:szCs w:val="20"/>
              </w:rPr>
            </w:pPr>
          </w:p>
        </w:tc>
        <w:tc>
          <w:tcPr>
            <w:tcW w:w="709" w:type="dxa"/>
            <w:shd w:val="clear" w:color="auto" w:fill="auto"/>
            <w:noWrap/>
            <w:vAlign w:val="center"/>
            <w:hideMark/>
          </w:tcPr>
          <w:p w:rsidR="00C3352E" w:rsidRDefault="00912FAD" w:rsidP="000033FD">
            <w:pPr>
              <w:widowControl/>
              <w:adjustRightInd w:val="0"/>
              <w:snapToGrid w:val="0"/>
              <w:spacing w:beforeLines="20" w:afterLines="20"/>
              <w:jc w:val="center"/>
              <w:rPr>
                <w:rFonts w:ascii="黑体" w:eastAsia="黑体" w:hAnsi="宋体" w:cs="Times New Roman"/>
                <w:kern w:val="0"/>
                <w:sz w:val="20"/>
                <w:szCs w:val="20"/>
              </w:rPr>
            </w:pPr>
            <w:r w:rsidRPr="00507D36">
              <w:rPr>
                <w:rFonts w:ascii="黑体" w:eastAsia="黑体" w:hAnsi="宋体" w:cs="Times New Roman"/>
                <w:kern w:val="0"/>
                <w:sz w:val="20"/>
                <w:szCs w:val="20"/>
              </w:rPr>
              <w:t>6990</w:t>
            </w:r>
          </w:p>
        </w:tc>
        <w:tc>
          <w:tcPr>
            <w:tcW w:w="1276"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其他未列明金融业</w:t>
            </w:r>
          </w:p>
        </w:tc>
        <w:tc>
          <w:tcPr>
            <w:tcW w:w="5720" w:type="dxa"/>
            <w:shd w:val="clear" w:color="auto" w:fill="auto"/>
            <w:noWrap/>
            <w:vAlign w:val="center"/>
            <w:hideMark/>
          </w:tcPr>
          <w:p w:rsidR="00C3352E" w:rsidRDefault="00912FAD" w:rsidP="000033FD">
            <w:pPr>
              <w:widowControl/>
              <w:adjustRightInd w:val="0"/>
              <w:snapToGrid w:val="0"/>
              <w:spacing w:beforeLines="20" w:afterLines="20"/>
              <w:rPr>
                <w:rFonts w:ascii="黑体" w:eastAsia="黑体" w:hAnsi="黑体" w:cs="宋体"/>
                <w:kern w:val="0"/>
                <w:sz w:val="20"/>
                <w:szCs w:val="20"/>
              </w:rPr>
            </w:pPr>
            <w:r w:rsidRPr="00507D36">
              <w:rPr>
                <w:rFonts w:ascii="黑体" w:eastAsia="黑体" w:hAnsi="黑体" w:cs="宋体" w:hint="eastAsia"/>
                <w:kern w:val="0"/>
                <w:sz w:val="20"/>
                <w:szCs w:val="20"/>
              </w:rPr>
              <w:t>指主要与除提供贷款以外的资金分配有关的其</w:t>
            </w:r>
            <w:r w:rsidRPr="00507D36">
              <w:rPr>
                <w:rFonts w:ascii="黑体" w:eastAsia="黑体" w:hAnsi="黑体" w:cs="宋体"/>
                <w:kern w:val="0"/>
                <w:sz w:val="20"/>
                <w:szCs w:val="20"/>
              </w:rPr>
              <w:t xml:space="preserve"> </w:t>
            </w:r>
            <w:r w:rsidRPr="00507D36">
              <w:rPr>
                <w:rFonts w:ascii="黑体" w:eastAsia="黑体" w:hAnsi="黑体" w:cs="宋体" w:hint="eastAsia"/>
                <w:kern w:val="0"/>
                <w:sz w:val="20"/>
                <w:szCs w:val="20"/>
              </w:rPr>
              <w:t>他金融媒介活动，包括保理活动、掉期、期权和</w:t>
            </w:r>
            <w:r w:rsidRPr="00507D36">
              <w:rPr>
                <w:rFonts w:ascii="黑体" w:eastAsia="黑体" w:hAnsi="黑体" w:cs="宋体"/>
                <w:kern w:val="0"/>
                <w:sz w:val="20"/>
                <w:szCs w:val="20"/>
              </w:rPr>
              <w:t xml:space="preserve"> </w:t>
            </w:r>
            <w:r w:rsidRPr="00507D36">
              <w:rPr>
                <w:rFonts w:ascii="黑体" w:eastAsia="黑体" w:hAnsi="黑体" w:cs="宋体" w:hint="eastAsia"/>
                <w:kern w:val="0"/>
                <w:sz w:val="20"/>
                <w:szCs w:val="20"/>
              </w:rPr>
              <w:t>其他套期保值安排、保单贴现公司的活动、金融</w:t>
            </w:r>
            <w:r w:rsidRPr="00507D36">
              <w:rPr>
                <w:rFonts w:ascii="黑体" w:eastAsia="黑体" w:hAnsi="黑体" w:cs="宋体"/>
                <w:kern w:val="0"/>
                <w:sz w:val="20"/>
                <w:szCs w:val="20"/>
              </w:rPr>
              <w:t xml:space="preserve"> </w:t>
            </w:r>
            <w:r w:rsidRPr="00507D36">
              <w:rPr>
                <w:rFonts w:ascii="黑体" w:eastAsia="黑体" w:hAnsi="黑体" w:cs="宋体" w:hint="eastAsia"/>
                <w:kern w:val="0"/>
                <w:sz w:val="20"/>
                <w:szCs w:val="20"/>
              </w:rPr>
              <w:t>资产的管理、金融交易处理与结算等活动，还包</w:t>
            </w:r>
            <w:r w:rsidRPr="00507D36">
              <w:rPr>
                <w:rFonts w:ascii="黑体" w:eastAsia="黑体" w:hAnsi="黑体" w:cs="宋体"/>
                <w:kern w:val="0"/>
                <w:sz w:val="20"/>
                <w:szCs w:val="20"/>
              </w:rPr>
              <w:t xml:space="preserve"> </w:t>
            </w:r>
            <w:r w:rsidRPr="00507D36">
              <w:rPr>
                <w:rFonts w:ascii="黑体" w:eastAsia="黑体" w:hAnsi="黑体" w:cs="宋体" w:hint="eastAsia"/>
                <w:kern w:val="0"/>
                <w:sz w:val="20"/>
                <w:szCs w:val="20"/>
              </w:rPr>
              <w:t>括信用卡交易的处理与结算、外币兑换等活动。</w:t>
            </w:r>
          </w:p>
        </w:tc>
      </w:tr>
    </w:tbl>
    <w:p w:rsidR="00B81142" w:rsidRPr="00912FAD" w:rsidRDefault="00B81142" w:rsidP="00B81142">
      <w:pPr>
        <w:spacing w:line="360" w:lineRule="auto"/>
        <w:rPr>
          <w:rFonts w:ascii="仿宋" w:eastAsia="仿宋" w:hAnsi="仿宋"/>
          <w:sz w:val="24"/>
          <w:szCs w:val="24"/>
        </w:rPr>
      </w:pPr>
    </w:p>
    <w:sectPr w:rsidR="00B81142" w:rsidRPr="00912FAD" w:rsidSect="00C5343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F5A" w:rsidRDefault="000C5F5A" w:rsidP="005D5C64">
      <w:r>
        <w:separator/>
      </w:r>
    </w:p>
  </w:endnote>
  <w:endnote w:type="continuationSeparator" w:id="0">
    <w:p w:rsidR="000C5F5A" w:rsidRDefault="000C5F5A" w:rsidP="005D5C6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48407"/>
      <w:docPartObj>
        <w:docPartGallery w:val="Page Numbers (Bottom of Page)"/>
        <w:docPartUnique/>
      </w:docPartObj>
    </w:sdtPr>
    <w:sdtContent>
      <w:p w:rsidR="00B46363" w:rsidRDefault="00822F34">
        <w:pPr>
          <w:pStyle w:val="a4"/>
          <w:jc w:val="center"/>
        </w:pPr>
        <w:fldSimple w:instr=" PAGE   \* MERGEFORMAT ">
          <w:r w:rsidR="000033FD" w:rsidRPr="000033FD">
            <w:rPr>
              <w:noProof/>
              <w:lang w:val="zh-CN"/>
            </w:rPr>
            <w:t>1</w:t>
          </w:r>
        </w:fldSimple>
      </w:p>
    </w:sdtContent>
  </w:sdt>
  <w:p w:rsidR="00B46363" w:rsidRDefault="00B4636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F5A" w:rsidRDefault="000C5F5A" w:rsidP="005D5C64">
      <w:r>
        <w:separator/>
      </w:r>
    </w:p>
  </w:footnote>
  <w:footnote w:type="continuationSeparator" w:id="0">
    <w:p w:rsidR="000C5F5A" w:rsidRDefault="000C5F5A" w:rsidP="005D5C64">
      <w:r>
        <w:continuationSeparator/>
      </w:r>
    </w:p>
  </w:footnote>
  <w:footnote w:id="1">
    <w:p w:rsidR="00E003EC" w:rsidRDefault="00E003EC">
      <w:pPr>
        <w:pStyle w:val="ac"/>
      </w:pPr>
      <w:r>
        <w:rPr>
          <w:rStyle w:val="ad"/>
        </w:rPr>
        <w:footnoteRef/>
      </w:r>
      <w:r>
        <w:t xml:space="preserve"> </w:t>
      </w:r>
      <w:r>
        <w:rPr>
          <w:rFonts w:hint="eastAsia"/>
        </w:rPr>
        <w:t>2015</w:t>
      </w:r>
      <w:r>
        <w:rPr>
          <w:rFonts w:hint="eastAsia"/>
        </w:rPr>
        <w:t>年</w:t>
      </w:r>
      <w:r>
        <w:rPr>
          <w:rFonts w:hint="eastAsia"/>
        </w:rPr>
        <w:t>1</w:t>
      </w:r>
      <w:r>
        <w:rPr>
          <w:rFonts w:hint="eastAsia"/>
        </w:rPr>
        <w:t>月</w:t>
      </w:r>
      <w:r>
        <w:rPr>
          <w:rFonts w:hint="eastAsia"/>
        </w:rPr>
        <w:t>22</w:t>
      </w:r>
      <w:r>
        <w:rPr>
          <w:rFonts w:hint="eastAsia"/>
        </w:rPr>
        <w:t>日修订第一部分第</w:t>
      </w:r>
      <w:r>
        <w:rPr>
          <w:rFonts w:hint="eastAsia"/>
        </w:rPr>
        <w:t>6</w:t>
      </w:r>
      <w:r>
        <w:rPr>
          <w:rFonts w:hint="eastAsia"/>
        </w:rPr>
        <w:t>题有关</w:t>
      </w:r>
      <w:r>
        <w:rPr>
          <w:rFonts w:hint="eastAsia"/>
        </w:rPr>
        <w:t>Z01</w:t>
      </w:r>
      <w:r>
        <w:rPr>
          <w:rFonts w:hint="eastAsia"/>
        </w:rPr>
        <w:t>表的报送要求</w:t>
      </w:r>
      <w:r w:rsidR="00242F71">
        <w:rPr>
          <w:rFonts w:hint="eastAsia"/>
        </w:rPr>
        <w:t>，</w:t>
      </w:r>
      <w:r>
        <w:rPr>
          <w:rFonts w:hint="eastAsia"/>
        </w:rPr>
        <w:t>修订为：</w:t>
      </w:r>
      <w:r w:rsidR="00563E2C">
        <w:rPr>
          <w:rFonts w:hint="eastAsia"/>
        </w:rPr>
        <w:t>“</w:t>
      </w:r>
      <w:r w:rsidRPr="00E003EC">
        <w:rPr>
          <w:rFonts w:hint="eastAsia"/>
        </w:rPr>
        <w:t>无论初次还是后续各月报送数据，所有申报机构均应填写</w:t>
      </w:r>
      <w:r w:rsidRPr="00E003EC">
        <w:rPr>
          <w:rFonts w:hint="eastAsia"/>
        </w:rPr>
        <w:t>Z01</w:t>
      </w:r>
      <w:r w:rsidRPr="00E003EC">
        <w:rPr>
          <w:rFonts w:hint="eastAsia"/>
        </w:rPr>
        <w:t>表</w:t>
      </w:r>
      <w:r w:rsidR="00563E2C">
        <w:rPr>
          <w:rFonts w:hint="eastAsia"/>
        </w:rPr>
        <w:t>”</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B5099"/>
    <w:multiLevelType w:val="hybridMultilevel"/>
    <w:tmpl w:val="BDFAB512"/>
    <w:lvl w:ilvl="0" w:tplc="141AB1B4">
      <w:start w:val="1"/>
      <w:numFmt w:val="bullet"/>
      <w:lvlText w:val="◦"/>
      <w:lvlJc w:val="left"/>
      <w:pPr>
        <w:tabs>
          <w:tab w:val="num" w:pos="720"/>
        </w:tabs>
        <w:ind w:left="720" w:hanging="360"/>
      </w:pPr>
      <w:rPr>
        <w:rFonts w:ascii="Verdana" w:hAnsi="Verdana" w:hint="default"/>
      </w:rPr>
    </w:lvl>
    <w:lvl w:ilvl="1" w:tplc="C952C3A0">
      <w:start w:val="1"/>
      <w:numFmt w:val="bullet"/>
      <w:lvlText w:val="◦"/>
      <w:lvlJc w:val="left"/>
      <w:pPr>
        <w:tabs>
          <w:tab w:val="num" w:pos="1440"/>
        </w:tabs>
        <w:ind w:left="1440" w:hanging="360"/>
      </w:pPr>
      <w:rPr>
        <w:rFonts w:ascii="Verdana" w:hAnsi="Verdana" w:hint="default"/>
      </w:rPr>
    </w:lvl>
    <w:lvl w:ilvl="2" w:tplc="4B66EB2C" w:tentative="1">
      <w:start w:val="1"/>
      <w:numFmt w:val="bullet"/>
      <w:lvlText w:val="◦"/>
      <w:lvlJc w:val="left"/>
      <w:pPr>
        <w:tabs>
          <w:tab w:val="num" w:pos="2160"/>
        </w:tabs>
        <w:ind w:left="2160" w:hanging="360"/>
      </w:pPr>
      <w:rPr>
        <w:rFonts w:ascii="Verdana" w:hAnsi="Verdana" w:hint="default"/>
      </w:rPr>
    </w:lvl>
    <w:lvl w:ilvl="3" w:tplc="9B8E1502" w:tentative="1">
      <w:start w:val="1"/>
      <w:numFmt w:val="bullet"/>
      <w:lvlText w:val="◦"/>
      <w:lvlJc w:val="left"/>
      <w:pPr>
        <w:tabs>
          <w:tab w:val="num" w:pos="2880"/>
        </w:tabs>
        <w:ind w:left="2880" w:hanging="360"/>
      </w:pPr>
      <w:rPr>
        <w:rFonts w:ascii="Verdana" w:hAnsi="Verdana" w:hint="default"/>
      </w:rPr>
    </w:lvl>
    <w:lvl w:ilvl="4" w:tplc="737001E2" w:tentative="1">
      <w:start w:val="1"/>
      <w:numFmt w:val="bullet"/>
      <w:lvlText w:val="◦"/>
      <w:lvlJc w:val="left"/>
      <w:pPr>
        <w:tabs>
          <w:tab w:val="num" w:pos="3600"/>
        </w:tabs>
        <w:ind w:left="3600" w:hanging="360"/>
      </w:pPr>
      <w:rPr>
        <w:rFonts w:ascii="Verdana" w:hAnsi="Verdana" w:hint="default"/>
      </w:rPr>
    </w:lvl>
    <w:lvl w:ilvl="5" w:tplc="9714429A" w:tentative="1">
      <w:start w:val="1"/>
      <w:numFmt w:val="bullet"/>
      <w:lvlText w:val="◦"/>
      <w:lvlJc w:val="left"/>
      <w:pPr>
        <w:tabs>
          <w:tab w:val="num" w:pos="4320"/>
        </w:tabs>
        <w:ind w:left="4320" w:hanging="360"/>
      </w:pPr>
      <w:rPr>
        <w:rFonts w:ascii="Verdana" w:hAnsi="Verdana" w:hint="default"/>
      </w:rPr>
    </w:lvl>
    <w:lvl w:ilvl="6" w:tplc="7C3C9F4E" w:tentative="1">
      <w:start w:val="1"/>
      <w:numFmt w:val="bullet"/>
      <w:lvlText w:val="◦"/>
      <w:lvlJc w:val="left"/>
      <w:pPr>
        <w:tabs>
          <w:tab w:val="num" w:pos="5040"/>
        </w:tabs>
        <w:ind w:left="5040" w:hanging="360"/>
      </w:pPr>
      <w:rPr>
        <w:rFonts w:ascii="Verdana" w:hAnsi="Verdana" w:hint="default"/>
      </w:rPr>
    </w:lvl>
    <w:lvl w:ilvl="7" w:tplc="24D0CAA2" w:tentative="1">
      <w:start w:val="1"/>
      <w:numFmt w:val="bullet"/>
      <w:lvlText w:val="◦"/>
      <w:lvlJc w:val="left"/>
      <w:pPr>
        <w:tabs>
          <w:tab w:val="num" w:pos="5760"/>
        </w:tabs>
        <w:ind w:left="5760" w:hanging="360"/>
      </w:pPr>
      <w:rPr>
        <w:rFonts w:ascii="Verdana" w:hAnsi="Verdana" w:hint="default"/>
      </w:rPr>
    </w:lvl>
    <w:lvl w:ilvl="8" w:tplc="2E3AD8F6" w:tentative="1">
      <w:start w:val="1"/>
      <w:numFmt w:val="bullet"/>
      <w:lvlText w:val="◦"/>
      <w:lvlJc w:val="left"/>
      <w:pPr>
        <w:tabs>
          <w:tab w:val="num" w:pos="6480"/>
        </w:tabs>
        <w:ind w:left="6480" w:hanging="360"/>
      </w:pPr>
      <w:rPr>
        <w:rFonts w:ascii="Verdana" w:hAnsi="Verdana" w:hint="default"/>
      </w:rPr>
    </w:lvl>
  </w:abstractNum>
  <w:abstractNum w:abstractNumId="1">
    <w:nsid w:val="54AF16A4"/>
    <w:multiLevelType w:val="hybridMultilevel"/>
    <w:tmpl w:val="9DEA966E"/>
    <w:lvl w:ilvl="0" w:tplc="FFFFFFFF">
      <w:start w:val="1"/>
      <w:numFmt w:val="bullet"/>
      <w:lvlText w:val="-"/>
      <w:lvlJc w:val="left"/>
      <w:pPr>
        <w:tabs>
          <w:tab w:val="num" w:pos="420"/>
        </w:tabs>
        <w:ind w:left="420" w:hanging="420"/>
      </w:pPr>
      <w:rPr>
        <w:rFonts w:ascii="宋体" w:eastAsia="宋体" w:hAnsi="宋体" w:hint="eastAsia"/>
      </w:rPr>
    </w:lvl>
    <w:lvl w:ilvl="1" w:tplc="FFFFFFFF">
      <w:start w:val="1"/>
      <w:numFmt w:val="bullet"/>
      <w:lvlText w:val=""/>
      <w:lvlJc w:val="left"/>
      <w:pPr>
        <w:tabs>
          <w:tab w:val="num" w:pos="0"/>
        </w:tabs>
        <w:ind w:left="0" w:hanging="420"/>
      </w:pPr>
      <w:rPr>
        <w:rFonts w:ascii="Wingdings" w:hAnsi="Wingdings" w:hint="default"/>
      </w:rPr>
    </w:lvl>
    <w:lvl w:ilvl="2" w:tplc="FFFFFFFF" w:tentative="1">
      <w:start w:val="1"/>
      <w:numFmt w:val="bullet"/>
      <w:lvlText w:val=""/>
      <w:lvlJc w:val="left"/>
      <w:pPr>
        <w:tabs>
          <w:tab w:val="num" w:pos="420"/>
        </w:tabs>
        <w:ind w:left="420" w:hanging="420"/>
      </w:pPr>
      <w:rPr>
        <w:rFonts w:ascii="Wingdings" w:hAnsi="Wingdings" w:hint="default"/>
      </w:rPr>
    </w:lvl>
    <w:lvl w:ilvl="3" w:tplc="FFFFFFFF" w:tentative="1">
      <w:start w:val="1"/>
      <w:numFmt w:val="bullet"/>
      <w:lvlText w:val=""/>
      <w:lvlJc w:val="left"/>
      <w:pPr>
        <w:tabs>
          <w:tab w:val="num" w:pos="840"/>
        </w:tabs>
        <w:ind w:left="840" w:hanging="420"/>
      </w:pPr>
      <w:rPr>
        <w:rFonts w:ascii="Wingdings" w:hAnsi="Wingdings" w:hint="default"/>
      </w:rPr>
    </w:lvl>
    <w:lvl w:ilvl="4" w:tplc="FFFFFFFF" w:tentative="1">
      <w:start w:val="1"/>
      <w:numFmt w:val="bullet"/>
      <w:lvlText w:val=""/>
      <w:lvlJc w:val="left"/>
      <w:pPr>
        <w:tabs>
          <w:tab w:val="num" w:pos="1260"/>
        </w:tabs>
        <w:ind w:left="1260" w:hanging="420"/>
      </w:pPr>
      <w:rPr>
        <w:rFonts w:ascii="Wingdings" w:hAnsi="Wingdings" w:hint="default"/>
      </w:rPr>
    </w:lvl>
    <w:lvl w:ilvl="5" w:tplc="FFFFFFFF" w:tentative="1">
      <w:start w:val="1"/>
      <w:numFmt w:val="bullet"/>
      <w:lvlText w:val=""/>
      <w:lvlJc w:val="left"/>
      <w:pPr>
        <w:tabs>
          <w:tab w:val="num" w:pos="1680"/>
        </w:tabs>
        <w:ind w:left="1680" w:hanging="420"/>
      </w:pPr>
      <w:rPr>
        <w:rFonts w:ascii="Wingdings" w:hAnsi="Wingdings" w:hint="default"/>
      </w:rPr>
    </w:lvl>
    <w:lvl w:ilvl="6" w:tplc="FFFFFFFF" w:tentative="1">
      <w:start w:val="1"/>
      <w:numFmt w:val="bullet"/>
      <w:lvlText w:val=""/>
      <w:lvlJc w:val="left"/>
      <w:pPr>
        <w:tabs>
          <w:tab w:val="num" w:pos="2100"/>
        </w:tabs>
        <w:ind w:left="2100" w:hanging="420"/>
      </w:pPr>
      <w:rPr>
        <w:rFonts w:ascii="Wingdings" w:hAnsi="Wingdings" w:hint="default"/>
      </w:rPr>
    </w:lvl>
    <w:lvl w:ilvl="7" w:tplc="FFFFFFFF" w:tentative="1">
      <w:start w:val="1"/>
      <w:numFmt w:val="bullet"/>
      <w:lvlText w:val=""/>
      <w:lvlJc w:val="left"/>
      <w:pPr>
        <w:tabs>
          <w:tab w:val="num" w:pos="2520"/>
        </w:tabs>
        <w:ind w:left="2520" w:hanging="420"/>
      </w:pPr>
      <w:rPr>
        <w:rFonts w:ascii="Wingdings" w:hAnsi="Wingdings" w:hint="default"/>
      </w:rPr>
    </w:lvl>
    <w:lvl w:ilvl="8" w:tplc="FFFFFFFF" w:tentative="1">
      <w:start w:val="1"/>
      <w:numFmt w:val="bullet"/>
      <w:lvlText w:val=""/>
      <w:lvlJc w:val="left"/>
      <w:pPr>
        <w:tabs>
          <w:tab w:val="num" w:pos="2940"/>
        </w:tabs>
        <w:ind w:left="294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5C64"/>
    <w:rsid w:val="00000822"/>
    <w:rsid w:val="000033FD"/>
    <w:rsid w:val="00012C65"/>
    <w:rsid w:val="000225DF"/>
    <w:rsid w:val="00023BA2"/>
    <w:rsid w:val="000278B4"/>
    <w:rsid w:val="00027B1E"/>
    <w:rsid w:val="0003049B"/>
    <w:rsid w:val="00032388"/>
    <w:rsid w:val="00034D77"/>
    <w:rsid w:val="00037F25"/>
    <w:rsid w:val="00043984"/>
    <w:rsid w:val="000439E2"/>
    <w:rsid w:val="00043E79"/>
    <w:rsid w:val="00045393"/>
    <w:rsid w:val="00045958"/>
    <w:rsid w:val="00051626"/>
    <w:rsid w:val="000544CB"/>
    <w:rsid w:val="00062DA4"/>
    <w:rsid w:val="00063458"/>
    <w:rsid w:val="0006390C"/>
    <w:rsid w:val="000648E1"/>
    <w:rsid w:val="00066A41"/>
    <w:rsid w:val="00085BCB"/>
    <w:rsid w:val="00087567"/>
    <w:rsid w:val="000958E3"/>
    <w:rsid w:val="000979DF"/>
    <w:rsid w:val="000A596C"/>
    <w:rsid w:val="000A7364"/>
    <w:rsid w:val="000C0685"/>
    <w:rsid w:val="000C4272"/>
    <w:rsid w:val="000C5F5A"/>
    <w:rsid w:val="000C6DDF"/>
    <w:rsid w:val="000D7141"/>
    <w:rsid w:val="000E38B5"/>
    <w:rsid w:val="000E7D99"/>
    <w:rsid w:val="000F5649"/>
    <w:rsid w:val="000F6702"/>
    <w:rsid w:val="00103C44"/>
    <w:rsid w:val="0011186F"/>
    <w:rsid w:val="001178C2"/>
    <w:rsid w:val="00125CC7"/>
    <w:rsid w:val="0013575C"/>
    <w:rsid w:val="00144099"/>
    <w:rsid w:val="001440F0"/>
    <w:rsid w:val="00151430"/>
    <w:rsid w:val="00152B05"/>
    <w:rsid w:val="00155B4A"/>
    <w:rsid w:val="00164192"/>
    <w:rsid w:val="00164D0F"/>
    <w:rsid w:val="001661AF"/>
    <w:rsid w:val="00170EC6"/>
    <w:rsid w:val="00174603"/>
    <w:rsid w:val="00180238"/>
    <w:rsid w:val="001818FF"/>
    <w:rsid w:val="00185413"/>
    <w:rsid w:val="001959F3"/>
    <w:rsid w:val="001A2E8B"/>
    <w:rsid w:val="001A36F9"/>
    <w:rsid w:val="001A37F3"/>
    <w:rsid w:val="001B69F1"/>
    <w:rsid w:val="001C5DCF"/>
    <w:rsid w:val="001C61AE"/>
    <w:rsid w:val="001C6A1B"/>
    <w:rsid w:val="001C7D21"/>
    <w:rsid w:val="001D78D1"/>
    <w:rsid w:val="001E6840"/>
    <w:rsid w:val="001E7FB9"/>
    <w:rsid w:val="001F19D6"/>
    <w:rsid w:val="001F49CB"/>
    <w:rsid w:val="001F546B"/>
    <w:rsid w:val="001F59D7"/>
    <w:rsid w:val="002050C1"/>
    <w:rsid w:val="0020665A"/>
    <w:rsid w:val="0021093E"/>
    <w:rsid w:val="00214A12"/>
    <w:rsid w:val="00222F54"/>
    <w:rsid w:val="002233F5"/>
    <w:rsid w:val="002241D6"/>
    <w:rsid w:val="00224387"/>
    <w:rsid w:val="00232797"/>
    <w:rsid w:val="002334F3"/>
    <w:rsid w:val="00234E41"/>
    <w:rsid w:val="00235D5E"/>
    <w:rsid w:val="00237B13"/>
    <w:rsid w:val="00242F71"/>
    <w:rsid w:val="00256950"/>
    <w:rsid w:val="0026392A"/>
    <w:rsid w:val="00266C10"/>
    <w:rsid w:val="002740EC"/>
    <w:rsid w:val="00277B86"/>
    <w:rsid w:val="0028404E"/>
    <w:rsid w:val="002847D3"/>
    <w:rsid w:val="00286E77"/>
    <w:rsid w:val="00297E77"/>
    <w:rsid w:val="002A0EB1"/>
    <w:rsid w:val="002A1A1B"/>
    <w:rsid w:val="002A3F87"/>
    <w:rsid w:val="002A400C"/>
    <w:rsid w:val="002A44F9"/>
    <w:rsid w:val="002B247B"/>
    <w:rsid w:val="002B2A61"/>
    <w:rsid w:val="002C023B"/>
    <w:rsid w:val="002C1803"/>
    <w:rsid w:val="002C26CC"/>
    <w:rsid w:val="002C751D"/>
    <w:rsid w:val="002D0210"/>
    <w:rsid w:val="002D1933"/>
    <w:rsid w:val="002D4138"/>
    <w:rsid w:val="002D67ED"/>
    <w:rsid w:val="002D7DEF"/>
    <w:rsid w:val="002E0BD6"/>
    <w:rsid w:val="002E4DCB"/>
    <w:rsid w:val="002F28F6"/>
    <w:rsid w:val="002F63B5"/>
    <w:rsid w:val="002F6857"/>
    <w:rsid w:val="00301B96"/>
    <w:rsid w:val="00307A32"/>
    <w:rsid w:val="00307FDD"/>
    <w:rsid w:val="0031242C"/>
    <w:rsid w:val="00314762"/>
    <w:rsid w:val="003202E0"/>
    <w:rsid w:val="00320413"/>
    <w:rsid w:val="00324C22"/>
    <w:rsid w:val="0033537A"/>
    <w:rsid w:val="003408EA"/>
    <w:rsid w:val="00341CA7"/>
    <w:rsid w:val="00355363"/>
    <w:rsid w:val="00360741"/>
    <w:rsid w:val="00361584"/>
    <w:rsid w:val="003666EA"/>
    <w:rsid w:val="00367FB8"/>
    <w:rsid w:val="0037071E"/>
    <w:rsid w:val="00370B43"/>
    <w:rsid w:val="0037151E"/>
    <w:rsid w:val="00372297"/>
    <w:rsid w:val="00372DE5"/>
    <w:rsid w:val="003849F2"/>
    <w:rsid w:val="00385414"/>
    <w:rsid w:val="0038616A"/>
    <w:rsid w:val="00390576"/>
    <w:rsid w:val="003A34BA"/>
    <w:rsid w:val="003A4AA0"/>
    <w:rsid w:val="003A615E"/>
    <w:rsid w:val="003B123C"/>
    <w:rsid w:val="003B30DE"/>
    <w:rsid w:val="003D0635"/>
    <w:rsid w:val="003D65AF"/>
    <w:rsid w:val="003E3C1D"/>
    <w:rsid w:val="003F0808"/>
    <w:rsid w:val="003F685C"/>
    <w:rsid w:val="00400C37"/>
    <w:rsid w:val="00400CB5"/>
    <w:rsid w:val="00405110"/>
    <w:rsid w:val="0041188C"/>
    <w:rsid w:val="004138B1"/>
    <w:rsid w:val="00417906"/>
    <w:rsid w:val="004431C5"/>
    <w:rsid w:val="00461D68"/>
    <w:rsid w:val="00465754"/>
    <w:rsid w:val="004661FE"/>
    <w:rsid w:val="00480C5C"/>
    <w:rsid w:val="00480D1F"/>
    <w:rsid w:val="0048775A"/>
    <w:rsid w:val="004903D5"/>
    <w:rsid w:val="00492509"/>
    <w:rsid w:val="00493F44"/>
    <w:rsid w:val="004962E1"/>
    <w:rsid w:val="004A0B73"/>
    <w:rsid w:val="004A19E6"/>
    <w:rsid w:val="004A2584"/>
    <w:rsid w:val="004A29DF"/>
    <w:rsid w:val="004A2F14"/>
    <w:rsid w:val="004A4D71"/>
    <w:rsid w:val="004B0024"/>
    <w:rsid w:val="004B3795"/>
    <w:rsid w:val="004B65EB"/>
    <w:rsid w:val="004B7EB1"/>
    <w:rsid w:val="004C0766"/>
    <w:rsid w:val="004C2D1D"/>
    <w:rsid w:val="004C30E7"/>
    <w:rsid w:val="004D3288"/>
    <w:rsid w:val="004D34D6"/>
    <w:rsid w:val="004D6643"/>
    <w:rsid w:val="004E1C36"/>
    <w:rsid w:val="004E5618"/>
    <w:rsid w:val="004F2CCE"/>
    <w:rsid w:val="004F529F"/>
    <w:rsid w:val="0050326E"/>
    <w:rsid w:val="005055CA"/>
    <w:rsid w:val="0050795F"/>
    <w:rsid w:val="00516352"/>
    <w:rsid w:val="0051647D"/>
    <w:rsid w:val="005204E8"/>
    <w:rsid w:val="00520555"/>
    <w:rsid w:val="00520B88"/>
    <w:rsid w:val="00522F19"/>
    <w:rsid w:val="0052791B"/>
    <w:rsid w:val="00532B2D"/>
    <w:rsid w:val="00533160"/>
    <w:rsid w:val="005437C2"/>
    <w:rsid w:val="005561D6"/>
    <w:rsid w:val="00563E2C"/>
    <w:rsid w:val="005670BC"/>
    <w:rsid w:val="0057282A"/>
    <w:rsid w:val="005737E4"/>
    <w:rsid w:val="00576556"/>
    <w:rsid w:val="00587143"/>
    <w:rsid w:val="00593A8A"/>
    <w:rsid w:val="00596674"/>
    <w:rsid w:val="005A1737"/>
    <w:rsid w:val="005B003A"/>
    <w:rsid w:val="005B06EE"/>
    <w:rsid w:val="005B11E4"/>
    <w:rsid w:val="005B2467"/>
    <w:rsid w:val="005B2A9E"/>
    <w:rsid w:val="005B6F91"/>
    <w:rsid w:val="005B77D6"/>
    <w:rsid w:val="005D1C8C"/>
    <w:rsid w:val="005D568B"/>
    <w:rsid w:val="005D5C64"/>
    <w:rsid w:val="005D661F"/>
    <w:rsid w:val="005D6692"/>
    <w:rsid w:val="005E30CD"/>
    <w:rsid w:val="00600B38"/>
    <w:rsid w:val="00601BAA"/>
    <w:rsid w:val="006134FD"/>
    <w:rsid w:val="006204DF"/>
    <w:rsid w:val="00637AD5"/>
    <w:rsid w:val="00640689"/>
    <w:rsid w:val="00640CB0"/>
    <w:rsid w:val="00641B0C"/>
    <w:rsid w:val="00644507"/>
    <w:rsid w:val="00644F6F"/>
    <w:rsid w:val="006539A6"/>
    <w:rsid w:val="0065624E"/>
    <w:rsid w:val="00660647"/>
    <w:rsid w:val="006629EB"/>
    <w:rsid w:val="00665156"/>
    <w:rsid w:val="0066644A"/>
    <w:rsid w:val="006701E9"/>
    <w:rsid w:val="00670305"/>
    <w:rsid w:val="00670F9D"/>
    <w:rsid w:val="00672144"/>
    <w:rsid w:val="006735C0"/>
    <w:rsid w:val="00676A56"/>
    <w:rsid w:val="00677B21"/>
    <w:rsid w:val="00697284"/>
    <w:rsid w:val="006A0032"/>
    <w:rsid w:val="006A7514"/>
    <w:rsid w:val="006B577F"/>
    <w:rsid w:val="006B66C1"/>
    <w:rsid w:val="006C144F"/>
    <w:rsid w:val="006C433F"/>
    <w:rsid w:val="006C447E"/>
    <w:rsid w:val="006C644C"/>
    <w:rsid w:val="006F4A58"/>
    <w:rsid w:val="0070361E"/>
    <w:rsid w:val="007037CE"/>
    <w:rsid w:val="00720F99"/>
    <w:rsid w:val="0072525F"/>
    <w:rsid w:val="007273A8"/>
    <w:rsid w:val="00727914"/>
    <w:rsid w:val="00727A2A"/>
    <w:rsid w:val="007350A1"/>
    <w:rsid w:val="00736F34"/>
    <w:rsid w:val="00743BEA"/>
    <w:rsid w:val="007462EE"/>
    <w:rsid w:val="007556D4"/>
    <w:rsid w:val="007563AC"/>
    <w:rsid w:val="007637E0"/>
    <w:rsid w:val="0076507B"/>
    <w:rsid w:val="007700F6"/>
    <w:rsid w:val="007761C4"/>
    <w:rsid w:val="007838E7"/>
    <w:rsid w:val="007867F6"/>
    <w:rsid w:val="0079373E"/>
    <w:rsid w:val="00793753"/>
    <w:rsid w:val="00794439"/>
    <w:rsid w:val="007A0972"/>
    <w:rsid w:val="007B3077"/>
    <w:rsid w:val="007B6B33"/>
    <w:rsid w:val="007C199E"/>
    <w:rsid w:val="007C5242"/>
    <w:rsid w:val="007D30D1"/>
    <w:rsid w:val="007D57F5"/>
    <w:rsid w:val="007E072B"/>
    <w:rsid w:val="007E12E7"/>
    <w:rsid w:val="007E1519"/>
    <w:rsid w:val="007E6F24"/>
    <w:rsid w:val="007F0658"/>
    <w:rsid w:val="007F5EB9"/>
    <w:rsid w:val="0080064F"/>
    <w:rsid w:val="00801C07"/>
    <w:rsid w:val="00807080"/>
    <w:rsid w:val="00810EE3"/>
    <w:rsid w:val="0081296A"/>
    <w:rsid w:val="008165D0"/>
    <w:rsid w:val="00822F34"/>
    <w:rsid w:val="00823A07"/>
    <w:rsid w:val="00824DC1"/>
    <w:rsid w:val="00827813"/>
    <w:rsid w:val="00837DCB"/>
    <w:rsid w:val="00843325"/>
    <w:rsid w:val="008436F6"/>
    <w:rsid w:val="008453BB"/>
    <w:rsid w:val="0084599E"/>
    <w:rsid w:val="00846350"/>
    <w:rsid w:val="00852F6A"/>
    <w:rsid w:val="00855CAB"/>
    <w:rsid w:val="00867559"/>
    <w:rsid w:val="00867C15"/>
    <w:rsid w:val="00871584"/>
    <w:rsid w:val="00871F4B"/>
    <w:rsid w:val="008824E6"/>
    <w:rsid w:val="00886C69"/>
    <w:rsid w:val="00892C2A"/>
    <w:rsid w:val="00894324"/>
    <w:rsid w:val="008978D8"/>
    <w:rsid w:val="008A3261"/>
    <w:rsid w:val="008A43F6"/>
    <w:rsid w:val="008A5524"/>
    <w:rsid w:val="008A5AC3"/>
    <w:rsid w:val="008A764B"/>
    <w:rsid w:val="008B1B21"/>
    <w:rsid w:val="008B50B8"/>
    <w:rsid w:val="008B5755"/>
    <w:rsid w:val="008B63D6"/>
    <w:rsid w:val="008B689D"/>
    <w:rsid w:val="008C0CDD"/>
    <w:rsid w:val="008C6202"/>
    <w:rsid w:val="008C7EF6"/>
    <w:rsid w:val="008D159D"/>
    <w:rsid w:val="008D19C8"/>
    <w:rsid w:val="008E1FF0"/>
    <w:rsid w:val="008E44C3"/>
    <w:rsid w:val="008E485D"/>
    <w:rsid w:val="008F175C"/>
    <w:rsid w:val="008F4DFC"/>
    <w:rsid w:val="008F5C21"/>
    <w:rsid w:val="008F6F8A"/>
    <w:rsid w:val="008F77F5"/>
    <w:rsid w:val="008F782B"/>
    <w:rsid w:val="00900768"/>
    <w:rsid w:val="009031F8"/>
    <w:rsid w:val="009059CA"/>
    <w:rsid w:val="00911EC0"/>
    <w:rsid w:val="00912FAD"/>
    <w:rsid w:val="00913D0C"/>
    <w:rsid w:val="00914C80"/>
    <w:rsid w:val="0091541A"/>
    <w:rsid w:val="00927AE0"/>
    <w:rsid w:val="00927F0F"/>
    <w:rsid w:val="00930A10"/>
    <w:rsid w:val="00934EDC"/>
    <w:rsid w:val="00942253"/>
    <w:rsid w:val="0094297B"/>
    <w:rsid w:val="00950A70"/>
    <w:rsid w:val="00953DA2"/>
    <w:rsid w:val="0096123B"/>
    <w:rsid w:val="0097022C"/>
    <w:rsid w:val="00974116"/>
    <w:rsid w:val="00982320"/>
    <w:rsid w:val="009856BF"/>
    <w:rsid w:val="00986F8D"/>
    <w:rsid w:val="00991198"/>
    <w:rsid w:val="00993BB9"/>
    <w:rsid w:val="0099528E"/>
    <w:rsid w:val="009A0E0A"/>
    <w:rsid w:val="009A4BC9"/>
    <w:rsid w:val="009A72D0"/>
    <w:rsid w:val="009A7FFB"/>
    <w:rsid w:val="009B2C3B"/>
    <w:rsid w:val="009B70C4"/>
    <w:rsid w:val="009C0932"/>
    <w:rsid w:val="009D393E"/>
    <w:rsid w:val="009D3CBB"/>
    <w:rsid w:val="009E307C"/>
    <w:rsid w:val="009E394D"/>
    <w:rsid w:val="009E5F06"/>
    <w:rsid w:val="009F00C2"/>
    <w:rsid w:val="009F1CAF"/>
    <w:rsid w:val="009F6402"/>
    <w:rsid w:val="00A05659"/>
    <w:rsid w:val="00A07A82"/>
    <w:rsid w:val="00A12EC0"/>
    <w:rsid w:val="00A15D0D"/>
    <w:rsid w:val="00A16681"/>
    <w:rsid w:val="00A212B2"/>
    <w:rsid w:val="00A2173A"/>
    <w:rsid w:val="00A23487"/>
    <w:rsid w:val="00A26F38"/>
    <w:rsid w:val="00A3647A"/>
    <w:rsid w:val="00A37FA9"/>
    <w:rsid w:val="00A400B1"/>
    <w:rsid w:val="00A45704"/>
    <w:rsid w:val="00A50AA0"/>
    <w:rsid w:val="00A5773C"/>
    <w:rsid w:val="00A75770"/>
    <w:rsid w:val="00A772CF"/>
    <w:rsid w:val="00A83011"/>
    <w:rsid w:val="00A8422C"/>
    <w:rsid w:val="00A85912"/>
    <w:rsid w:val="00A85A36"/>
    <w:rsid w:val="00A9050D"/>
    <w:rsid w:val="00A958C4"/>
    <w:rsid w:val="00A96366"/>
    <w:rsid w:val="00AA3822"/>
    <w:rsid w:val="00AA44C6"/>
    <w:rsid w:val="00AA6C78"/>
    <w:rsid w:val="00AB05FF"/>
    <w:rsid w:val="00AB1359"/>
    <w:rsid w:val="00AD0F99"/>
    <w:rsid w:val="00AE0200"/>
    <w:rsid w:val="00AE2083"/>
    <w:rsid w:val="00AE3325"/>
    <w:rsid w:val="00AE51E3"/>
    <w:rsid w:val="00AE62FE"/>
    <w:rsid w:val="00AF593E"/>
    <w:rsid w:val="00AF69E8"/>
    <w:rsid w:val="00AF6BC1"/>
    <w:rsid w:val="00AF6C01"/>
    <w:rsid w:val="00B01C5D"/>
    <w:rsid w:val="00B02318"/>
    <w:rsid w:val="00B04F47"/>
    <w:rsid w:val="00B1052C"/>
    <w:rsid w:val="00B112B2"/>
    <w:rsid w:val="00B20398"/>
    <w:rsid w:val="00B21893"/>
    <w:rsid w:val="00B32F1D"/>
    <w:rsid w:val="00B35593"/>
    <w:rsid w:val="00B35CAC"/>
    <w:rsid w:val="00B41B94"/>
    <w:rsid w:val="00B43186"/>
    <w:rsid w:val="00B4355F"/>
    <w:rsid w:val="00B46363"/>
    <w:rsid w:val="00B53E20"/>
    <w:rsid w:val="00B54038"/>
    <w:rsid w:val="00B57F36"/>
    <w:rsid w:val="00B62674"/>
    <w:rsid w:val="00B6494B"/>
    <w:rsid w:val="00B76F07"/>
    <w:rsid w:val="00B81142"/>
    <w:rsid w:val="00B91C11"/>
    <w:rsid w:val="00BA03A4"/>
    <w:rsid w:val="00BA7BAC"/>
    <w:rsid w:val="00BB0349"/>
    <w:rsid w:val="00BC4624"/>
    <w:rsid w:val="00BC5797"/>
    <w:rsid w:val="00BC7AC6"/>
    <w:rsid w:val="00BD1B78"/>
    <w:rsid w:val="00BD32B5"/>
    <w:rsid w:val="00BE3966"/>
    <w:rsid w:val="00BE6018"/>
    <w:rsid w:val="00BF0CDA"/>
    <w:rsid w:val="00C0183B"/>
    <w:rsid w:val="00C04E2E"/>
    <w:rsid w:val="00C144CE"/>
    <w:rsid w:val="00C2356B"/>
    <w:rsid w:val="00C2390F"/>
    <w:rsid w:val="00C23C5B"/>
    <w:rsid w:val="00C24083"/>
    <w:rsid w:val="00C274D1"/>
    <w:rsid w:val="00C3352E"/>
    <w:rsid w:val="00C35610"/>
    <w:rsid w:val="00C36E71"/>
    <w:rsid w:val="00C37E9D"/>
    <w:rsid w:val="00C40C60"/>
    <w:rsid w:val="00C435F8"/>
    <w:rsid w:val="00C53436"/>
    <w:rsid w:val="00C54CE3"/>
    <w:rsid w:val="00C5787B"/>
    <w:rsid w:val="00C6062C"/>
    <w:rsid w:val="00C613CC"/>
    <w:rsid w:val="00C643A7"/>
    <w:rsid w:val="00C67AAB"/>
    <w:rsid w:val="00C702CB"/>
    <w:rsid w:val="00C72148"/>
    <w:rsid w:val="00C724F5"/>
    <w:rsid w:val="00C73F98"/>
    <w:rsid w:val="00C822B9"/>
    <w:rsid w:val="00C8631B"/>
    <w:rsid w:val="00C96A8F"/>
    <w:rsid w:val="00CA267A"/>
    <w:rsid w:val="00CA2BB5"/>
    <w:rsid w:val="00CA2E5D"/>
    <w:rsid w:val="00CA34B3"/>
    <w:rsid w:val="00CA4C88"/>
    <w:rsid w:val="00CB003A"/>
    <w:rsid w:val="00CB1042"/>
    <w:rsid w:val="00CB6213"/>
    <w:rsid w:val="00CC2C00"/>
    <w:rsid w:val="00CC30AA"/>
    <w:rsid w:val="00CD6700"/>
    <w:rsid w:val="00CE26D8"/>
    <w:rsid w:val="00CF5979"/>
    <w:rsid w:val="00D026EC"/>
    <w:rsid w:val="00D030F1"/>
    <w:rsid w:val="00D066A3"/>
    <w:rsid w:val="00D06F65"/>
    <w:rsid w:val="00D07B4A"/>
    <w:rsid w:val="00D11C6F"/>
    <w:rsid w:val="00D14E5E"/>
    <w:rsid w:val="00D16481"/>
    <w:rsid w:val="00D27690"/>
    <w:rsid w:val="00D36A8C"/>
    <w:rsid w:val="00D37727"/>
    <w:rsid w:val="00D47E86"/>
    <w:rsid w:val="00D50FB2"/>
    <w:rsid w:val="00D52177"/>
    <w:rsid w:val="00D55FFB"/>
    <w:rsid w:val="00D578BB"/>
    <w:rsid w:val="00D57E2B"/>
    <w:rsid w:val="00D6117F"/>
    <w:rsid w:val="00D62C16"/>
    <w:rsid w:val="00D6426C"/>
    <w:rsid w:val="00D70F87"/>
    <w:rsid w:val="00D74CEB"/>
    <w:rsid w:val="00D767D2"/>
    <w:rsid w:val="00D82A66"/>
    <w:rsid w:val="00D850B8"/>
    <w:rsid w:val="00D86F3C"/>
    <w:rsid w:val="00D92A61"/>
    <w:rsid w:val="00D96A6E"/>
    <w:rsid w:val="00DA2A7E"/>
    <w:rsid w:val="00DA601F"/>
    <w:rsid w:val="00DB3350"/>
    <w:rsid w:val="00DB4C68"/>
    <w:rsid w:val="00DB51E7"/>
    <w:rsid w:val="00DB7D31"/>
    <w:rsid w:val="00DB7D9E"/>
    <w:rsid w:val="00DC0931"/>
    <w:rsid w:val="00DD4DA7"/>
    <w:rsid w:val="00DE24F6"/>
    <w:rsid w:val="00DE643C"/>
    <w:rsid w:val="00DF4309"/>
    <w:rsid w:val="00E003EC"/>
    <w:rsid w:val="00E019C8"/>
    <w:rsid w:val="00E05C70"/>
    <w:rsid w:val="00E06A7E"/>
    <w:rsid w:val="00E12DB6"/>
    <w:rsid w:val="00E14C5D"/>
    <w:rsid w:val="00E17DBD"/>
    <w:rsid w:val="00E261A7"/>
    <w:rsid w:val="00E300E0"/>
    <w:rsid w:val="00E3189F"/>
    <w:rsid w:val="00E31E3D"/>
    <w:rsid w:val="00E32C78"/>
    <w:rsid w:val="00E37145"/>
    <w:rsid w:val="00E373E6"/>
    <w:rsid w:val="00E46663"/>
    <w:rsid w:val="00E51F2C"/>
    <w:rsid w:val="00E52DF5"/>
    <w:rsid w:val="00E52E6B"/>
    <w:rsid w:val="00E533B8"/>
    <w:rsid w:val="00E56DC8"/>
    <w:rsid w:val="00E60D88"/>
    <w:rsid w:val="00E616E7"/>
    <w:rsid w:val="00E657D0"/>
    <w:rsid w:val="00E72254"/>
    <w:rsid w:val="00E74B8E"/>
    <w:rsid w:val="00E843BD"/>
    <w:rsid w:val="00E943C2"/>
    <w:rsid w:val="00E952B3"/>
    <w:rsid w:val="00E953C6"/>
    <w:rsid w:val="00E9619E"/>
    <w:rsid w:val="00EA262B"/>
    <w:rsid w:val="00EA29BA"/>
    <w:rsid w:val="00EA3D31"/>
    <w:rsid w:val="00EA4C8F"/>
    <w:rsid w:val="00EA5655"/>
    <w:rsid w:val="00EB1FB8"/>
    <w:rsid w:val="00EC17A4"/>
    <w:rsid w:val="00EC38EF"/>
    <w:rsid w:val="00EC44F4"/>
    <w:rsid w:val="00EC5AC9"/>
    <w:rsid w:val="00EC6367"/>
    <w:rsid w:val="00EC6CA9"/>
    <w:rsid w:val="00ED2E0A"/>
    <w:rsid w:val="00ED4C97"/>
    <w:rsid w:val="00ED7F34"/>
    <w:rsid w:val="00EF074D"/>
    <w:rsid w:val="00EF1DF9"/>
    <w:rsid w:val="00EF30AD"/>
    <w:rsid w:val="00EF42AE"/>
    <w:rsid w:val="00EF46C1"/>
    <w:rsid w:val="00F02FD4"/>
    <w:rsid w:val="00F03E1F"/>
    <w:rsid w:val="00F0655A"/>
    <w:rsid w:val="00F07624"/>
    <w:rsid w:val="00F16C60"/>
    <w:rsid w:val="00F2037D"/>
    <w:rsid w:val="00F21C3F"/>
    <w:rsid w:val="00F27DFE"/>
    <w:rsid w:val="00F32F47"/>
    <w:rsid w:val="00F3605C"/>
    <w:rsid w:val="00F37FE2"/>
    <w:rsid w:val="00F4154E"/>
    <w:rsid w:val="00F4373F"/>
    <w:rsid w:val="00F47D02"/>
    <w:rsid w:val="00F5137A"/>
    <w:rsid w:val="00F53075"/>
    <w:rsid w:val="00F530EF"/>
    <w:rsid w:val="00F53ACB"/>
    <w:rsid w:val="00F60516"/>
    <w:rsid w:val="00F60FDD"/>
    <w:rsid w:val="00F6137A"/>
    <w:rsid w:val="00F634EE"/>
    <w:rsid w:val="00F63739"/>
    <w:rsid w:val="00F63930"/>
    <w:rsid w:val="00F64764"/>
    <w:rsid w:val="00F6502F"/>
    <w:rsid w:val="00F733E4"/>
    <w:rsid w:val="00F833BA"/>
    <w:rsid w:val="00F93423"/>
    <w:rsid w:val="00F9461C"/>
    <w:rsid w:val="00FA12B2"/>
    <w:rsid w:val="00FA378F"/>
    <w:rsid w:val="00FA6D65"/>
    <w:rsid w:val="00FB1565"/>
    <w:rsid w:val="00FB6D1B"/>
    <w:rsid w:val="00FC2633"/>
    <w:rsid w:val="00FC306D"/>
    <w:rsid w:val="00FC6D4B"/>
    <w:rsid w:val="00FD0A87"/>
    <w:rsid w:val="00FD1278"/>
    <w:rsid w:val="00FD1B13"/>
    <w:rsid w:val="00FD2041"/>
    <w:rsid w:val="00FD5CA6"/>
    <w:rsid w:val="00FE1790"/>
    <w:rsid w:val="00FE3FDC"/>
    <w:rsid w:val="00FE6992"/>
    <w:rsid w:val="00FF1E80"/>
    <w:rsid w:val="00FF207C"/>
    <w:rsid w:val="00FF71C4"/>
    <w:rsid w:val="00FF7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5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5C64"/>
    <w:rPr>
      <w:sz w:val="18"/>
      <w:szCs w:val="18"/>
    </w:rPr>
  </w:style>
  <w:style w:type="paragraph" w:styleId="a4">
    <w:name w:val="footer"/>
    <w:basedOn w:val="a"/>
    <w:link w:val="Char0"/>
    <w:uiPriority w:val="99"/>
    <w:unhideWhenUsed/>
    <w:rsid w:val="005D5C64"/>
    <w:pPr>
      <w:tabs>
        <w:tab w:val="center" w:pos="4153"/>
        <w:tab w:val="right" w:pos="8306"/>
      </w:tabs>
      <w:snapToGrid w:val="0"/>
      <w:jc w:val="left"/>
    </w:pPr>
    <w:rPr>
      <w:sz w:val="18"/>
      <w:szCs w:val="18"/>
    </w:rPr>
  </w:style>
  <w:style w:type="character" w:customStyle="1" w:styleId="Char0">
    <w:name w:val="页脚 Char"/>
    <w:basedOn w:val="a0"/>
    <w:link w:val="a4"/>
    <w:uiPriority w:val="99"/>
    <w:rsid w:val="005D5C64"/>
    <w:rPr>
      <w:sz w:val="18"/>
      <w:szCs w:val="18"/>
    </w:rPr>
  </w:style>
  <w:style w:type="paragraph" w:styleId="a5">
    <w:name w:val="Document Map"/>
    <w:basedOn w:val="a"/>
    <w:link w:val="Char1"/>
    <w:uiPriority w:val="99"/>
    <w:semiHidden/>
    <w:unhideWhenUsed/>
    <w:rsid w:val="0070361E"/>
    <w:rPr>
      <w:rFonts w:ascii="宋体" w:eastAsia="宋体"/>
      <w:sz w:val="18"/>
      <w:szCs w:val="18"/>
    </w:rPr>
  </w:style>
  <w:style w:type="character" w:customStyle="1" w:styleId="Char1">
    <w:name w:val="文档结构图 Char"/>
    <w:basedOn w:val="a0"/>
    <w:link w:val="a5"/>
    <w:uiPriority w:val="99"/>
    <w:semiHidden/>
    <w:rsid w:val="0070361E"/>
    <w:rPr>
      <w:rFonts w:ascii="宋体" w:eastAsia="宋体"/>
      <w:sz w:val="18"/>
      <w:szCs w:val="18"/>
    </w:rPr>
  </w:style>
  <w:style w:type="paragraph" w:styleId="a6">
    <w:name w:val="List Paragraph"/>
    <w:basedOn w:val="a"/>
    <w:uiPriority w:val="34"/>
    <w:qFormat/>
    <w:rsid w:val="0070361E"/>
    <w:pPr>
      <w:widowControl/>
      <w:ind w:firstLineChars="200" w:firstLine="420"/>
      <w:jc w:val="left"/>
    </w:pPr>
    <w:rPr>
      <w:rFonts w:ascii="宋体" w:eastAsia="宋体" w:hAnsi="宋体" w:cs="宋体"/>
      <w:kern w:val="0"/>
      <w:sz w:val="24"/>
      <w:szCs w:val="24"/>
    </w:rPr>
  </w:style>
  <w:style w:type="paragraph" w:styleId="a7">
    <w:name w:val="Normal (Web)"/>
    <w:basedOn w:val="a"/>
    <w:uiPriority w:val="99"/>
    <w:semiHidden/>
    <w:unhideWhenUsed/>
    <w:rsid w:val="00C8631B"/>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5B6F91"/>
    <w:rPr>
      <w:sz w:val="21"/>
      <w:szCs w:val="21"/>
    </w:rPr>
  </w:style>
  <w:style w:type="paragraph" w:styleId="a9">
    <w:name w:val="annotation text"/>
    <w:basedOn w:val="a"/>
    <w:link w:val="Char2"/>
    <w:uiPriority w:val="99"/>
    <w:semiHidden/>
    <w:unhideWhenUsed/>
    <w:rsid w:val="005B6F91"/>
    <w:pPr>
      <w:jc w:val="left"/>
    </w:pPr>
  </w:style>
  <w:style w:type="character" w:customStyle="1" w:styleId="Char2">
    <w:name w:val="批注文字 Char"/>
    <w:basedOn w:val="a0"/>
    <w:link w:val="a9"/>
    <w:uiPriority w:val="99"/>
    <w:semiHidden/>
    <w:rsid w:val="005B6F91"/>
  </w:style>
  <w:style w:type="paragraph" w:styleId="aa">
    <w:name w:val="Balloon Text"/>
    <w:basedOn w:val="a"/>
    <w:link w:val="Char3"/>
    <w:uiPriority w:val="99"/>
    <w:semiHidden/>
    <w:unhideWhenUsed/>
    <w:rsid w:val="005B6F91"/>
    <w:rPr>
      <w:sz w:val="18"/>
      <w:szCs w:val="18"/>
    </w:rPr>
  </w:style>
  <w:style w:type="character" w:customStyle="1" w:styleId="Char3">
    <w:name w:val="批注框文本 Char"/>
    <w:basedOn w:val="a0"/>
    <w:link w:val="aa"/>
    <w:uiPriority w:val="99"/>
    <w:semiHidden/>
    <w:rsid w:val="005B6F91"/>
    <w:rPr>
      <w:sz w:val="18"/>
      <w:szCs w:val="18"/>
    </w:rPr>
  </w:style>
  <w:style w:type="paragraph" w:styleId="ab">
    <w:name w:val="Body Text Indent"/>
    <w:basedOn w:val="a"/>
    <w:link w:val="Char4"/>
    <w:rsid w:val="0051647D"/>
    <w:pPr>
      <w:spacing w:after="120"/>
      <w:ind w:left="420"/>
    </w:pPr>
    <w:rPr>
      <w:rFonts w:ascii="Times New Roman" w:eastAsia="仿宋_GB2312" w:hAnsi="Times New Roman" w:cs="Times New Roman"/>
      <w:sz w:val="24"/>
      <w:szCs w:val="24"/>
    </w:rPr>
  </w:style>
  <w:style w:type="character" w:customStyle="1" w:styleId="Char4">
    <w:name w:val="正文文本缩进 Char"/>
    <w:basedOn w:val="a0"/>
    <w:link w:val="ab"/>
    <w:rsid w:val="0051647D"/>
    <w:rPr>
      <w:rFonts w:ascii="Times New Roman" w:eastAsia="仿宋_GB2312" w:hAnsi="Times New Roman" w:cs="Times New Roman"/>
      <w:sz w:val="24"/>
      <w:szCs w:val="24"/>
    </w:rPr>
  </w:style>
  <w:style w:type="paragraph" w:styleId="ac">
    <w:name w:val="footnote text"/>
    <w:basedOn w:val="a"/>
    <w:link w:val="Char5"/>
    <w:uiPriority w:val="99"/>
    <w:semiHidden/>
    <w:unhideWhenUsed/>
    <w:rsid w:val="00E003EC"/>
    <w:pPr>
      <w:snapToGrid w:val="0"/>
      <w:jc w:val="left"/>
    </w:pPr>
    <w:rPr>
      <w:sz w:val="18"/>
      <w:szCs w:val="18"/>
    </w:rPr>
  </w:style>
  <w:style w:type="character" w:customStyle="1" w:styleId="Char5">
    <w:name w:val="脚注文本 Char"/>
    <w:basedOn w:val="a0"/>
    <w:link w:val="ac"/>
    <w:uiPriority w:val="99"/>
    <w:semiHidden/>
    <w:rsid w:val="00E003EC"/>
    <w:rPr>
      <w:sz w:val="18"/>
      <w:szCs w:val="18"/>
    </w:rPr>
  </w:style>
  <w:style w:type="character" w:styleId="ad">
    <w:name w:val="footnote reference"/>
    <w:basedOn w:val="a0"/>
    <w:uiPriority w:val="99"/>
    <w:semiHidden/>
    <w:unhideWhenUsed/>
    <w:rsid w:val="00E003EC"/>
    <w:rPr>
      <w:vertAlign w:val="superscript"/>
    </w:rPr>
  </w:style>
</w:styles>
</file>

<file path=word/webSettings.xml><?xml version="1.0" encoding="utf-8"?>
<w:webSettings xmlns:r="http://schemas.openxmlformats.org/officeDocument/2006/relationships" xmlns:w="http://schemas.openxmlformats.org/wordprocessingml/2006/main">
  <w:divs>
    <w:div w:id="255552344">
      <w:bodyDiv w:val="1"/>
      <w:marLeft w:val="0"/>
      <w:marRight w:val="0"/>
      <w:marTop w:val="0"/>
      <w:marBottom w:val="0"/>
      <w:divBdr>
        <w:top w:val="none" w:sz="0" w:space="0" w:color="auto"/>
        <w:left w:val="none" w:sz="0" w:space="0" w:color="auto"/>
        <w:bottom w:val="none" w:sz="0" w:space="0" w:color="auto"/>
        <w:right w:val="none" w:sz="0" w:space="0" w:color="auto"/>
      </w:divBdr>
      <w:divsChild>
        <w:div w:id="870070496">
          <w:marLeft w:val="0"/>
          <w:marRight w:val="0"/>
          <w:marTop w:val="0"/>
          <w:marBottom w:val="0"/>
          <w:divBdr>
            <w:top w:val="none" w:sz="0" w:space="0" w:color="auto"/>
            <w:left w:val="none" w:sz="0" w:space="0" w:color="auto"/>
            <w:bottom w:val="none" w:sz="0" w:space="0" w:color="auto"/>
            <w:right w:val="none" w:sz="0" w:space="0" w:color="auto"/>
          </w:divBdr>
          <w:divsChild>
            <w:div w:id="16582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2342">
      <w:bodyDiv w:val="1"/>
      <w:marLeft w:val="0"/>
      <w:marRight w:val="0"/>
      <w:marTop w:val="0"/>
      <w:marBottom w:val="0"/>
      <w:divBdr>
        <w:top w:val="none" w:sz="0" w:space="0" w:color="auto"/>
        <w:left w:val="none" w:sz="0" w:space="0" w:color="auto"/>
        <w:bottom w:val="none" w:sz="0" w:space="0" w:color="auto"/>
        <w:right w:val="none" w:sz="0" w:space="0" w:color="auto"/>
      </w:divBdr>
    </w:div>
    <w:div w:id="1584996174">
      <w:bodyDiv w:val="1"/>
      <w:marLeft w:val="0"/>
      <w:marRight w:val="0"/>
      <w:marTop w:val="0"/>
      <w:marBottom w:val="0"/>
      <w:divBdr>
        <w:top w:val="none" w:sz="0" w:space="0" w:color="auto"/>
        <w:left w:val="none" w:sz="0" w:space="0" w:color="auto"/>
        <w:bottom w:val="none" w:sz="0" w:space="0" w:color="auto"/>
        <w:right w:val="none" w:sz="0" w:space="0" w:color="auto"/>
      </w:divBdr>
      <w:divsChild>
        <w:div w:id="47845723">
          <w:marLeft w:val="864"/>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94259-E33E-4187-A273-3F26C9F0B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2476</Words>
  <Characters>14114</Characters>
  <Application>Microsoft Office Word</Application>
  <DocSecurity>0</DocSecurity>
  <Lines>117</Lines>
  <Paragraphs>33</Paragraphs>
  <ScaleCrop>false</ScaleCrop>
  <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thtfpc user</cp:lastModifiedBy>
  <cp:revision>1</cp:revision>
  <cp:lastPrinted>2014-06-04T02:48:00Z</cp:lastPrinted>
  <dcterms:created xsi:type="dcterms:W3CDTF">2014-06-03T08:40:00Z</dcterms:created>
  <dcterms:modified xsi:type="dcterms:W3CDTF">2015-04-15T02:44:00Z</dcterms:modified>
</cp:coreProperties>
</file>